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29A72" w14:textId="02D1E7E2" w:rsidR="0009318E" w:rsidRPr="00ED4FB4" w:rsidRDefault="0009318E" w:rsidP="00F20D9C">
      <w:pPr>
        <w:widowControl/>
        <w:ind w:left="11907"/>
      </w:pPr>
      <w:r w:rsidRPr="00ED4FB4">
        <w:t xml:space="preserve">Додаток </w:t>
      </w:r>
      <w:r w:rsidRPr="00ED4FB4">
        <w:rPr>
          <w:lang w:val="ru-RU"/>
        </w:rPr>
        <w:t>1</w:t>
      </w:r>
      <w:r w:rsidR="00F20D9C" w:rsidRPr="0098740B">
        <w:t xml:space="preserve"> </w:t>
      </w:r>
      <w:r w:rsidRPr="00ED4FB4">
        <w:t>до рішення Комісії</w:t>
      </w:r>
    </w:p>
    <w:p w14:paraId="060DD8B4" w14:textId="75035BAB" w:rsidR="00F20D9C" w:rsidRPr="00ED4FB4" w:rsidRDefault="00F20D9C" w:rsidP="00F20D9C">
      <w:pPr>
        <w:widowControl/>
        <w:ind w:left="11907"/>
        <w:rPr>
          <w:lang w:val="ru-RU"/>
        </w:rPr>
      </w:pPr>
      <w:r w:rsidRPr="00ED4FB4">
        <w:rPr>
          <w:lang w:val="ru-RU"/>
        </w:rPr>
        <w:t xml:space="preserve">від </w:t>
      </w:r>
      <w:r w:rsidR="00DD5D2C" w:rsidRPr="00DD5D2C">
        <w:rPr>
          <w:u w:val="single"/>
          <w:lang w:val="ru-RU"/>
        </w:rPr>
        <w:t>06.05.2026</w:t>
      </w:r>
      <w:r w:rsidRPr="00ED4FB4">
        <w:rPr>
          <w:lang w:val="ru-RU"/>
        </w:rPr>
        <w:t xml:space="preserve"> № </w:t>
      </w:r>
      <w:r w:rsidR="00DD5D2C">
        <w:rPr>
          <w:u w:val="single"/>
          <w:lang w:val="ru-RU"/>
        </w:rPr>
        <w:t>53/зп-26</w:t>
      </w:r>
      <w:bookmarkStart w:id="0" w:name="_GoBack"/>
      <w:bookmarkEnd w:id="0"/>
    </w:p>
    <w:p w14:paraId="690CB31F" w14:textId="6A381F18" w:rsidR="0009318E" w:rsidRPr="0009318E" w:rsidRDefault="00F20D9C" w:rsidP="0009318E">
      <w:pPr>
        <w:widowControl/>
        <w:ind w:left="11199"/>
        <w:rPr>
          <w:b/>
          <w:sz w:val="28"/>
          <w:lang w:val="ru-RU"/>
        </w:rPr>
      </w:pP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</w:p>
    <w:p w14:paraId="2740AE57" w14:textId="77777777" w:rsidR="0009318E" w:rsidRPr="0009318E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lang w:val="ru-RU"/>
        </w:rPr>
      </w:pPr>
      <w:r w:rsidRPr="0009318E">
        <w:rPr>
          <w:rStyle w:val="MSGENFONTSTYLENAMETEMPLATEROLEMSGENFONTSTYLENAMEBYROLETEXT1"/>
          <w:b/>
          <w:bCs/>
        </w:rPr>
        <w:t xml:space="preserve">М Е Т О Д И Ч Н І </w:t>
      </w:r>
      <w:r w:rsidR="0009318E" w:rsidRPr="0009318E">
        <w:rPr>
          <w:rStyle w:val="MSGENFONTSTYLENAMETEMPLATEROLEMSGENFONTSTYLENAMEBYROLETEXT1"/>
          <w:b/>
          <w:bCs/>
        </w:rPr>
        <w:t xml:space="preserve"> </w:t>
      </w:r>
      <w:r w:rsidR="0009318E" w:rsidRPr="0009318E">
        <w:rPr>
          <w:rStyle w:val="MSGENFONTSTYLENAMETEMPLATEROLEMSGENFONTSTYLENAMEBYROLETEXT1"/>
          <w:b/>
          <w:bCs/>
          <w:lang w:val="ru-RU"/>
        </w:rPr>
        <w:t xml:space="preserve"> </w:t>
      </w:r>
      <w:r w:rsidRPr="0009318E">
        <w:rPr>
          <w:rStyle w:val="MSGENFONTSTYLENAMETEMPLATEROLEMSGENFONTSTYLENAMEBYROLETEXT1"/>
          <w:b/>
          <w:bCs/>
        </w:rPr>
        <w:t>В К А З І В К И</w:t>
      </w:r>
    </w:p>
    <w:p w14:paraId="776CFFAB" w14:textId="77777777" w:rsidR="0009318E" w:rsidRPr="0009318E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lang w:val="ru-RU"/>
        </w:rPr>
      </w:pPr>
      <w:r w:rsidRPr="0009318E">
        <w:rPr>
          <w:rStyle w:val="MSGENFONTSTYLENAMETEMPLATEROLEMSGENFONTSTYLENAMEBYROLETEXT1"/>
          <w:b/>
          <w:bCs/>
        </w:rPr>
        <w:t>з оцінювання практичного завдання</w:t>
      </w:r>
      <w:r w:rsidR="005F625E" w:rsidRPr="0009318E">
        <w:rPr>
          <w:rStyle w:val="MSGENFONTSTYLENAMETEMPLATEROLEMSGENFONTSTYLENAMEBYROLETEXT1"/>
          <w:b/>
          <w:bCs/>
        </w:rPr>
        <w:t>,</w:t>
      </w:r>
    </w:p>
    <w:p w14:paraId="2B992893" w14:textId="1EDA818F" w:rsidR="00643545" w:rsidRPr="0009318E" w:rsidRDefault="006719AE" w:rsidP="00585334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color w:val="auto"/>
        </w:rPr>
      </w:pPr>
      <w:r w:rsidRPr="0009318E">
        <w:rPr>
          <w:rStyle w:val="MSGENFONTSTYLENAMETEMPLATEROLEMSGENFONTSTYLENAMEBYROLETEXT1"/>
          <w:b/>
          <w:bCs/>
        </w:rPr>
        <w:t xml:space="preserve">виконаного </w:t>
      </w:r>
      <w:r w:rsidR="00315775" w:rsidRPr="0009318E">
        <w:rPr>
          <w:b/>
          <w:bCs/>
        </w:rPr>
        <w:t xml:space="preserve">під час кваліфікаційного іспиту </w:t>
      </w:r>
      <w:r w:rsidRPr="0009318E">
        <w:rPr>
          <w:rStyle w:val="MSGENFONTSTYLENAMETEMPLATEROLEMSGENFONTSTYLENAMEBYROLETEXT1"/>
          <w:b/>
          <w:bCs/>
        </w:rPr>
        <w:t>кандидатами на посад</w:t>
      </w:r>
      <w:r w:rsidR="00585334">
        <w:rPr>
          <w:rStyle w:val="MSGENFONTSTYLENAMETEMPLATEROLEMSGENFONTSTYLENAMEBYROLETEXT1"/>
          <w:b/>
          <w:bCs/>
        </w:rPr>
        <w:t>у</w:t>
      </w:r>
      <w:r w:rsidRPr="0009318E">
        <w:rPr>
          <w:rStyle w:val="MSGENFONTSTYLENAMETEMPLATEROLEMSGENFONTSTYLENAMEBYROLETEXT1"/>
          <w:b/>
          <w:bCs/>
        </w:rPr>
        <w:t xml:space="preserve"> судді</w:t>
      </w:r>
      <w:r w:rsidR="00585334">
        <w:rPr>
          <w:rStyle w:val="MSGENFONTSTYLENAMETEMPLATEROLEMSGENFONTSTYLENAMEBYROLETEXT1"/>
          <w:b/>
          <w:bCs/>
        </w:rPr>
        <w:t xml:space="preserve"> Спеціалізованого окружного адміністративного суду</w:t>
      </w:r>
    </w:p>
    <w:p w14:paraId="2DB666FF" w14:textId="77777777" w:rsidR="006B15AE" w:rsidRPr="0009318E" w:rsidRDefault="006B15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</w:p>
    <w:p w14:paraId="499A0513" w14:textId="11A9593E" w:rsidR="0009318E" w:rsidRPr="0040288D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</w:rPr>
      </w:pPr>
      <w:r w:rsidRPr="0009318E">
        <w:rPr>
          <w:rStyle w:val="MSGENFONTSTYLENAMETEMPLATEROLEMSGENFONTSTYLENAMEBYROLETEXT1"/>
          <w:b/>
          <w:bCs/>
        </w:rPr>
        <w:t xml:space="preserve">Тип практичного завдання – </w:t>
      </w:r>
      <w:r w:rsidR="00E276D5" w:rsidRPr="0009318E">
        <w:rPr>
          <w:rStyle w:val="MSGENFONTSTYLENAMETEMPLATEROLEMSGENFONTSTYLENAMEBYROLETEXT1"/>
          <w:b/>
          <w:bCs/>
        </w:rPr>
        <w:t>модельне судове рішення</w:t>
      </w:r>
    </w:p>
    <w:p w14:paraId="34C18BD6" w14:textId="77777777" w:rsidR="0000487B" w:rsidRPr="0009318E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  <w:lang w:val="ru-RU"/>
        </w:rPr>
      </w:pPr>
      <w:r w:rsidRPr="0009318E">
        <w:rPr>
          <w:rStyle w:val="MSGENFONTSTYLENAMETEMPLATEROLEMSGENFONTSTYLENAMEBYROLETEXT1"/>
          <w:b/>
          <w:bCs/>
        </w:rPr>
        <w:t xml:space="preserve">Оцінка за шкалою </w:t>
      </w:r>
      <w:r w:rsidR="00315775" w:rsidRPr="0009318E">
        <w:rPr>
          <w:rStyle w:val="MSGENFONTSTYLENAMETEMPLATEROLEMSGENFONTSTYLENAMEBYROLETEXT1"/>
          <w:b/>
          <w:bCs/>
        </w:rPr>
        <w:t>75</w:t>
      </w:r>
      <w:r w:rsidRPr="0009318E">
        <w:rPr>
          <w:rStyle w:val="MSGENFONTSTYLENAMETEMPLATEROLEMSGENFONTSTYLENAMEBYROLETEXT1"/>
          <w:b/>
          <w:bCs/>
        </w:rPr>
        <w:t xml:space="preserve"> балів</w:t>
      </w:r>
    </w:p>
    <w:p w14:paraId="001E53BB" w14:textId="77777777" w:rsidR="0009318E" w:rsidRPr="0009318E" w:rsidRDefault="0009318E" w:rsidP="0009318E">
      <w:pPr>
        <w:pStyle w:val="MSGENFONTSTYLENAMETEMPLATEROLEMSGENFONTSTYLENAMEBYROLETEXT10"/>
        <w:spacing w:after="0"/>
        <w:ind w:left="220"/>
        <w:jc w:val="both"/>
        <w:rPr>
          <w:b/>
          <w:bCs/>
          <w:lang w:val="ru-RU"/>
        </w:rPr>
      </w:pPr>
    </w:p>
    <w:tbl>
      <w:tblPr>
        <w:tblStyle w:val="a3"/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23"/>
        <w:gridCol w:w="1577"/>
        <w:gridCol w:w="8738"/>
      </w:tblGrid>
      <w:tr w:rsidR="0000487B" w:rsidRPr="0009318E" w14:paraId="090CA15D" w14:textId="77777777" w:rsidTr="003B0232">
        <w:trPr>
          <w:trHeight w:val="12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67EEF3F" w14:textId="77777777"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№ з/п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6EAD1435" w14:textId="77777777"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Елементи</w:t>
            </w:r>
            <w:r w:rsidRPr="0009318E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 </w:t>
            </w:r>
            <w:r w:rsidRPr="0009318E">
              <w:rPr>
                <w:rFonts w:ascii="Times New Roman" w:hAnsi="Times New Roman"/>
                <w:b/>
                <w:bCs/>
                <w:color w:val="auto"/>
              </w:rPr>
              <w:t>практичного завдання, що підлягають оцінюванню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00ED390F" w14:textId="77777777"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Кількість балів за елемент оцінювання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27B2950B" w14:textId="77777777"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Показники оцінювання</w:t>
            </w:r>
          </w:p>
        </w:tc>
      </w:tr>
      <w:tr w:rsidR="00C23C59" w:rsidRPr="0009318E" w14:paraId="76CCF447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44972E03" w14:textId="77777777" w:rsidR="00C23C59" w:rsidRPr="0009318E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1. </w:t>
            </w:r>
            <w:r w:rsidR="00C23C59" w:rsidRPr="0009318E">
              <w:rPr>
                <w:rFonts w:ascii="Times New Roman" w:hAnsi="Times New Roman"/>
                <w:b/>
                <w:bCs/>
                <w:color w:val="auto"/>
              </w:rPr>
              <w:t>Мотивувальна частина</w:t>
            </w:r>
          </w:p>
        </w:tc>
      </w:tr>
      <w:tr w:rsidR="0000487B" w:rsidRPr="0009318E" w14:paraId="0F971706" w14:textId="77777777" w:rsidTr="003B0232">
        <w:trPr>
          <w:jc w:val="center"/>
        </w:trPr>
        <w:tc>
          <w:tcPr>
            <w:tcW w:w="704" w:type="dxa"/>
            <w:vAlign w:val="center"/>
          </w:tcPr>
          <w:p w14:paraId="2FC43F74" w14:textId="77777777" w:rsidR="0000487B" w:rsidRPr="0009318E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1</w:t>
            </w:r>
            <w:r w:rsidR="00940819" w:rsidRPr="0009318E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14:paraId="16C32221" w14:textId="4685EDA9" w:rsidR="0000487B" w:rsidRPr="0009318E" w:rsidRDefault="00315775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Визначення ключового питання</w:t>
            </w:r>
            <w:r w:rsidR="00E137EB">
              <w:rPr>
                <w:rFonts w:ascii="Times New Roman" w:hAnsi="Times New Roman"/>
                <w:bCs/>
                <w:color w:val="auto"/>
                <w:lang w:bidi="uk-UA"/>
              </w:rPr>
              <w:t xml:space="preserve">, яке суд розглядає </w:t>
            </w:r>
            <w:r w:rsidR="00F44695">
              <w:rPr>
                <w:rFonts w:ascii="Times New Roman" w:hAnsi="Times New Roman"/>
                <w:bCs/>
                <w:color w:val="auto"/>
                <w:lang w:bidi="uk-UA"/>
              </w:rPr>
              <w:t>у справі</w:t>
            </w:r>
          </w:p>
        </w:tc>
        <w:tc>
          <w:tcPr>
            <w:tcW w:w="1577" w:type="dxa"/>
            <w:vAlign w:val="center"/>
          </w:tcPr>
          <w:p w14:paraId="57010F6C" w14:textId="77777777" w:rsidR="0000487B" w:rsidRPr="0009318E" w:rsidRDefault="008D7CA1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0-</w:t>
            </w:r>
            <w:r w:rsidR="00213E37" w:rsidRPr="0009318E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14:paraId="5EB98E5B" w14:textId="77777777" w:rsidR="00A76457" w:rsidRPr="00C15B29" w:rsidRDefault="00315775" w:rsidP="0009318E">
            <w:pPr>
              <w:jc w:val="both"/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</w:t>
            </w:r>
            <w:r w:rsidR="003C4946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уміння </w:t>
            </w:r>
            <w:r w:rsidR="002B4918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правильно кваліфікувати правовідносини, </w:t>
            </w:r>
            <w:r w:rsidR="001C39F3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аналізувати </w:t>
            </w:r>
            <w:r w:rsidR="00213E37" w:rsidRPr="0009318E">
              <w:rPr>
                <w:rFonts w:ascii="Times New Roman" w:hAnsi="Times New Roman"/>
                <w:bCs/>
                <w:color w:val="auto"/>
                <w:lang w:bidi="uk-UA"/>
              </w:rPr>
              <w:t>обставин</w:t>
            </w:r>
            <w:r w:rsidR="001C39F3" w:rsidRPr="0009318E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 w:rsidR="00213E37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справи</w:t>
            </w:r>
            <w:r w:rsidR="001C39F3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в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1C39F3" w:rsidRPr="0009318E">
              <w:rPr>
                <w:rFonts w:ascii="Times New Roman" w:hAnsi="Times New Roman"/>
                <w:bCs/>
                <w:color w:val="auto"/>
                <w:lang w:bidi="uk-UA"/>
              </w:rPr>
              <w:t>цілому</w:t>
            </w:r>
            <w:r w:rsidR="00213E37" w:rsidRPr="0009318E">
              <w:rPr>
                <w:rFonts w:ascii="Times New Roman" w:hAnsi="Times New Roman"/>
                <w:bCs/>
                <w:color w:val="auto"/>
                <w:lang w:bidi="uk-UA"/>
              </w:rPr>
              <w:t>, формувати висновок про їх вплив на конфліктн</w:t>
            </w:r>
            <w:r w:rsidR="001C39F3" w:rsidRPr="0009318E">
              <w:rPr>
                <w:rFonts w:ascii="Times New Roman" w:hAnsi="Times New Roman"/>
                <w:bCs/>
                <w:color w:val="auto"/>
                <w:lang w:bidi="uk-UA"/>
              </w:rPr>
              <w:t>е</w:t>
            </w:r>
            <w:r w:rsidR="00213E37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правовідношення</w:t>
            </w:r>
            <w:r w:rsidR="001C39F3" w:rsidRPr="0009318E">
              <w:rPr>
                <w:rFonts w:ascii="Times New Roman" w:hAnsi="Times New Roman"/>
                <w:bCs/>
                <w:color w:val="auto"/>
                <w:lang w:bidi="uk-UA"/>
              </w:rPr>
              <w:t>, а також виокремити о</w:t>
            </w:r>
            <w:r w:rsidR="00C15B29">
              <w:rPr>
                <w:rFonts w:ascii="Times New Roman" w:hAnsi="Times New Roman"/>
                <w:bCs/>
                <w:color w:val="auto"/>
                <w:lang w:bidi="uk-UA"/>
              </w:rPr>
              <w:t>сновну причину виникнення спору</w:t>
            </w:r>
          </w:p>
        </w:tc>
      </w:tr>
      <w:tr w:rsidR="00A76457" w:rsidRPr="0009318E" w14:paraId="3DC353E1" w14:textId="77777777" w:rsidTr="003B0232">
        <w:trPr>
          <w:jc w:val="center"/>
        </w:trPr>
        <w:tc>
          <w:tcPr>
            <w:tcW w:w="704" w:type="dxa"/>
            <w:vAlign w:val="center"/>
          </w:tcPr>
          <w:p w14:paraId="325AEC1D" w14:textId="77777777" w:rsidR="00A76457" w:rsidRPr="0009318E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1.2</w:t>
            </w:r>
          </w:p>
        </w:tc>
        <w:tc>
          <w:tcPr>
            <w:tcW w:w="3923" w:type="dxa"/>
            <w:vAlign w:val="center"/>
          </w:tcPr>
          <w:p w14:paraId="6520F172" w14:textId="2A615331" w:rsidR="00A76457" w:rsidRPr="0009318E" w:rsidRDefault="00F44695" w:rsidP="0009318E">
            <w:pPr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Джерела </w:t>
            </w:r>
            <w:r w:rsidR="00A8287B">
              <w:rPr>
                <w:rFonts w:ascii="Times New Roman" w:hAnsi="Times New Roman"/>
                <w:bCs/>
                <w:color w:val="auto"/>
                <w:lang w:bidi="uk-UA"/>
              </w:rPr>
              <w:t>права (норми права) та мотиви їх застосування</w:t>
            </w:r>
            <w:r w:rsidR="00C2595D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A8287B">
              <w:rPr>
                <w:rFonts w:ascii="Times New Roman" w:hAnsi="Times New Roman"/>
                <w:bCs/>
                <w:color w:val="auto"/>
                <w:lang w:bidi="uk-UA"/>
              </w:rPr>
              <w:t>/</w:t>
            </w:r>
            <w:r w:rsidR="00C2595D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A8287B">
              <w:rPr>
                <w:rFonts w:ascii="Times New Roman" w:hAnsi="Times New Roman"/>
                <w:bCs/>
                <w:color w:val="auto"/>
                <w:lang w:bidi="uk-UA"/>
              </w:rPr>
              <w:t>незаст</w:t>
            </w:r>
            <w:r w:rsidR="000046E5">
              <w:rPr>
                <w:rFonts w:ascii="Times New Roman" w:hAnsi="Times New Roman"/>
                <w:bCs/>
                <w:color w:val="auto"/>
                <w:lang w:bidi="uk-UA"/>
              </w:rPr>
              <w:t xml:space="preserve">осування при ухваленні судового рішення </w:t>
            </w:r>
          </w:p>
        </w:tc>
        <w:tc>
          <w:tcPr>
            <w:tcW w:w="1577" w:type="dxa"/>
            <w:vAlign w:val="center"/>
          </w:tcPr>
          <w:p w14:paraId="3BDB853F" w14:textId="77777777" w:rsidR="00A76457" w:rsidRPr="0009318E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0-</w:t>
            </w:r>
            <w:r w:rsidR="00213E37" w:rsidRPr="0009318E">
              <w:rPr>
                <w:rFonts w:ascii="Times New Roman" w:hAnsi="Times New Roman"/>
                <w:bCs/>
                <w:color w:val="auto"/>
              </w:rPr>
              <w:t>15</w:t>
            </w:r>
          </w:p>
        </w:tc>
        <w:tc>
          <w:tcPr>
            <w:tcW w:w="8738" w:type="dxa"/>
            <w:vAlign w:val="center"/>
          </w:tcPr>
          <w:p w14:paraId="6F938BC3" w14:textId="77777777" w:rsidR="00315775" w:rsidRPr="0009318E" w:rsidRDefault="00315775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14:paraId="0A65BBCB" w14:textId="77777777" w:rsidR="005613E1" w:rsidRPr="0009318E" w:rsidRDefault="00315775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5613E1" w:rsidRPr="0009318E">
              <w:rPr>
                <w:rFonts w:ascii="Times New Roman" w:hAnsi="Times New Roman"/>
                <w:bCs/>
                <w:color w:val="auto"/>
                <w:lang w:bidi="uk-UA"/>
              </w:rPr>
              <w:t>уміння орієнтуватися у системі законодавства та підбирати нормативно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-</w:t>
            </w:r>
            <w:r w:rsidR="005613E1" w:rsidRPr="0009318E">
              <w:rPr>
                <w:rFonts w:ascii="Times New Roman" w:hAnsi="Times New Roman"/>
                <w:bCs/>
                <w:color w:val="auto"/>
                <w:lang w:bidi="uk-UA"/>
              </w:rPr>
              <w:t>правові акти, що застос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овуються</w:t>
            </w:r>
            <w:r w:rsidR="005613E1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до спірних правовідносин;</w:t>
            </w:r>
          </w:p>
          <w:p w14:paraId="7BE20946" w14:textId="77777777" w:rsidR="00315775" w:rsidRPr="0009318E" w:rsidRDefault="005613E1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="00315775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 матеріального права, що застос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овуються</w:t>
            </w:r>
            <w:r w:rsidR="00315775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при написанні модельного судового рішення;</w:t>
            </w:r>
          </w:p>
          <w:p w14:paraId="298ABAEB" w14:textId="77777777" w:rsidR="00315775" w:rsidRPr="0009318E" w:rsidRDefault="00315775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основних </w:t>
            </w:r>
            <w:r w:rsidR="00F97678" w:rsidRPr="0009318E">
              <w:rPr>
                <w:rFonts w:ascii="Times New Roman" w:hAnsi="Times New Roman"/>
                <w:bCs/>
                <w:color w:val="auto"/>
                <w:lang w:bidi="uk-UA"/>
              </w:rPr>
              <w:t>правил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правозастосування та вміння їх </w:t>
            </w:r>
            <w:r w:rsidR="00F97678" w:rsidRPr="0009318E">
              <w:rPr>
                <w:rFonts w:ascii="Times New Roman" w:hAnsi="Times New Roman"/>
                <w:bCs/>
                <w:color w:val="auto"/>
                <w:lang w:bidi="uk-UA"/>
              </w:rPr>
              <w:t>дотримуватися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при виконанні практичного завдання;</w:t>
            </w:r>
          </w:p>
          <w:p w14:paraId="68025D54" w14:textId="5E418621" w:rsidR="00A76457" w:rsidRPr="00C15B29" w:rsidRDefault="002B4918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правильно тлумачити правові норми та зіставляти їх </w:t>
            </w:r>
            <w:r w:rsidR="00F97678" w:rsidRPr="0009318E">
              <w:rPr>
                <w:rFonts w:ascii="Times New Roman" w:hAnsi="Times New Roman"/>
                <w:bCs/>
                <w:color w:val="auto"/>
                <w:lang w:bidi="uk-UA"/>
              </w:rPr>
              <w:t>і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з </w:t>
            </w:r>
            <w:r w:rsidR="00F97678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фактичними 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обставинами справи</w:t>
            </w:r>
          </w:p>
        </w:tc>
      </w:tr>
      <w:tr w:rsidR="00315775" w:rsidRPr="0009318E" w14:paraId="14991E68" w14:textId="77777777" w:rsidTr="003B0232">
        <w:trPr>
          <w:jc w:val="center"/>
        </w:trPr>
        <w:tc>
          <w:tcPr>
            <w:tcW w:w="704" w:type="dxa"/>
            <w:vAlign w:val="center"/>
          </w:tcPr>
          <w:p w14:paraId="0975BBF4" w14:textId="77777777" w:rsidR="00315775" w:rsidRPr="0009318E" w:rsidRDefault="00315775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1.3</w:t>
            </w:r>
          </w:p>
        </w:tc>
        <w:tc>
          <w:tcPr>
            <w:tcW w:w="3923" w:type="dxa"/>
            <w:vAlign w:val="center"/>
          </w:tcPr>
          <w:p w14:paraId="04B8319F" w14:textId="55B8F383" w:rsidR="00315775" w:rsidRPr="0009318E" w:rsidRDefault="00213E37" w:rsidP="0009318E">
            <w:pPr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Мотивована </w:t>
            </w:r>
            <w:r w:rsidR="00315775" w:rsidRPr="0009318E">
              <w:rPr>
                <w:rFonts w:ascii="Times New Roman" w:hAnsi="Times New Roman"/>
                <w:bCs/>
                <w:color w:val="auto"/>
                <w:lang w:bidi="uk-UA"/>
              </w:rPr>
              <w:t>оцін</w:t>
            </w:r>
            <w:r w:rsidR="00300727">
              <w:rPr>
                <w:rFonts w:ascii="Times New Roman" w:hAnsi="Times New Roman"/>
                <w:bCs/>
                <w:color w:val="auto"/>
                <w:lang w:bidi="uk-UA"/>
              </w:rPr>
              <w:t xml:space="preserve">ка </w:t>
            </w:r>
            <w:r w:rsidR="00116654">
              <w:rPr>
                <w:rFonts w:ascii="Times New Roman" w:hAnsi="Times New Roman"/>
                <w:bCs/>
                <w:color w:val="auto"/>
                <w:lang w:bidi="uk-UA"/>
              </w:rPr>
              <w:t xml:space="preserve">аргументів, наведених учасниками справи, зокрема </w:t>
            </w:r>
            <w:r w:rsidR="00A75079">
              <w:rPr>
                <w:rFonts w:ascii="Times New Roman" w:hAnsi="Times New Roman"/>
                <w:bCs/>
                <w:color w:val="auto"/>
                <w:lang w:bidi="uk-UA"/>
              </w:rPr>
              <w:t xml:space="preserve">щодо наявності чи відсутності </w:t>
            </w:r>
            <w:r w:rsidR="003329C1">
              <w:rPr>
                <w:rFonts w:ascii="Times New Roman" w:hAnsi="Times New Roman"/>
                <w:bCs/>
                <w:color w:val="auto"/>
                <w:lang w:bidi="uk-UA"/>
              </w:rPr>
              <w:t xml:space="preserve">підстав для задоволення позову із посиланням на норми права, які </w:t>
            </w:r>
            <w:r w:rsidR="00BB7763">
              <w:rPr>
                <w:rFonts w:ascii="Times New Roman" w:hAnsi="Times New Roman"/>
                <w:bCs/>
                <w:color w:val="auto"/>
                <w:lang w:bidi="uk-UA"/>
              </w:rPr>
              <w:t>застосував</w:t>
            </w:r>
            <w:r w:rsidR="00396A92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BB7763">
              <w:rPr>
                <w:rFonts w:ascii="Times New Roman" w:hAnsi="Times New Roman"/>
                <w:bCs/>
                <w:color w:val="auto"/>
                <w:lang w:bidi="uk-UA"/>
              </w:rPr>
              <w:t>/ не застосував суд</w:t>
            </w:r>
            <w:r w:rsidR="001A522C">
              <w:rPr>
                <w:rFonts w:ascii="Times New Roman" w:hAnsi="Times New Roman"/>
                <w:bCs/>
                <w:color w:val="auto"/>
                <w:lang w:bidi="uk-UA"/>
              </w:rPr>
              <w:t>, мотиви їх застосування</w:t>
            </w:r>
            <w:r w:rsidR="00C2595D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1A522C">
              <w:rPr>
                <w:rFonts w:ascii="Times New Roman" w:hAnsi="Times New Roman"/>
                <w:bCs/>
                <w:color w:val="auto"/>
                <w:lang w:bidi="uk-UA"/>
              </w:rPr>
              <w:t>/</w:t>
            </w:r>
            <w:r w:rsidR="00C2595D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1A522C">
              <w:rPr>
                <w:rFonts w:ascii="Times New Roman" w:hAnsi="Times New Roman"/>
                <w:bCs/>
                <w:color w:val="auto"/>
                <w:lang w:bidi="uk-UA"/>
              </w:rPr>
              <w:t>незастосування</w:t>
            </w:r>
          </w:p>
        </w:tc>
        <w:tc>
          <w:tcPr>
            <w:tcW w:w="1577" w:type="dxa"/>
            <w:vAlign w:val="center"/>
          </w:tcPr>
          <w:p w14:paraId="29545A29" w14:textId="77777777" w:rsidR="00315775" w:rsidRPr="0009318E" w:rsidRDefault="0057058A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0-20</w:t>
            </w:r>
          </w:p>
        </w:tc>
        <w:tc>
          <w:tcPr>
            <w:tcW w:w="8738" w:type="dxa"/>
            <w:vAlign w:val="center"/>
          </w:tcPr>
          <w:p w14:paraId="24138F9E" w14:textId="77777777" w:rsidR="00B10B91" w:rsidRPr="0009318E" w:rsidRDefault="00B10B91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14:paraId="1D796722" w14:textId="77777777" w:rsidR="00A82237" w:rsidRPr="0009318E" w:rsidRDefault="00A82237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>
              <w:rPr>
                <w:rFonts w:ascii="Times New Roman" w:hAnsi="Times New Roman"/>
                <w:bCs/>
                <w:color w:val="auto"/>
                <w:lang w:bidi="uk-UA"/>
              </w:rPr>
              <w:t>уміння визначати фактичні обставини справи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які є істотними при написанні модельного судового рішення;</w:t>
            </w:r>
          </w:p>
          <w:p w14:paraId="557648CF" w14:textId="77777777" w:rsidR="00A82237" w:rsidRPr="0009318E" w:rsidRDefault="00A82237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- уміння аналізувати та синтезувати доречні та важливі аргументи сторін;</w:t>
            </w:r>
          </w:p>
          <w:p w14:paraId="35D415A6" w14:textId="42E8051B" w:rsidR="00B10B91" w:rsidRPr="0009318E" w:rsidRDefault="00B10B91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- уміння чітк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о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обґрун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 xml:space="preserve">тувати 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прийняття або відхилення </w:t>
            </w:r>
            <w:r w:rsidR="00A82237" w:rsidRPr="00DE50E7">
              <w:rPr>
                <w:rFonts w:ascii="Times New Roman" w:hAnsi="Times New Roman"/>
                <w:bCs/>
                <w:color w:val="auto"/>
                <w:lang w:bidi="uk-UA"/>
              </w:rPr>
              <w:t>доказів</w:t>
            </w:r>
            <w:r w:rsidR="0040288D" w:rsidRPr="00DE50E7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аргументів сторін</w:t>
            </w:r>
            <w:r w:rsidRPr="00DE50E7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1E0AD248" w14:textId="77777777" w:rsidR="00315775" w:rsidRDefault="00B10B91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- розуміння змісту правових норм, уміння їх аналізувати при написанні мотивувальної частини модельного судового рішення</w:t>
            </w:r>
            <w:r w:rsidR="007A7838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застосовувати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="007A7838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мотив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увати</w:t>
            </w:r>
            <w:r w:rsidR="007A7838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незастосування окремих норм</w:t>
            </w:r>
            <w:r w:rsidR="00627BEF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244F6317" w14:textId="162370F1" w:rsidR="00627BEF" w:rsidRPr="00C15B29" w:rsidRDefault="00627BEF" w:rsidP="0009318E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врахувати </w:t>
            </w:r>
            <w:r w:rsidR="008317DE">
              <w:rPr>
                <w:rFonts w:ascii="Times New Roman" w:hAnsi="Times New Roman"/>
                <w:bCs/>
                <w:color w:val="auto"/>
                <w:lang w:bidi="uk-UA"/>
              </w:rPr>
              <w:t>правові висновки Верховного Суду (</w:t>
            </w:r>
            <w:r w:rsidR="008317DE" w:rsidRPr="00DE50E7">
              <w:rPr>
                <w:rFonts w:ascii="Times New Roman" w:hAnsi="Times New Roman"/>
                <w:bCs/>
                <w:color w:val="auto"/>
                <w:lang w:bidi="uk-UA"/>
              </w:rPr>
              <w:t>щодо</w:t>
            </w:r>
            <w:r w:rsidR="0040288D" w:rsidRPr="00DE50E7">
              <w:rPr>
                <w:rFonts w:ascii="Times New Roman" w:hAnsi="Times New Roman"/>
                <w:bCs/>
                <w:color w:val="auto"/>
                <w:lang w:bidi="uk-UA"/>
              </w:rPr>
              <w:t xml:space="preserve"> застосування</w:t>
            </w:r>
            <w:r w:rsidR="008C1009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 матеріального та/або процесуального права)</w:t>
            </w:r>
            <w:r w:rsidR="00D15B46">
              <w:rPr>
                <w:rFonts w:ascii="Times New Roman" w:hAnsi="Times New Roman"/>
                <w:bCs/>
                <w:color w:val="auto"/>
                <w:lang w:bidi="uk-UA"/>
              </w:rPr>
              <w:t xml:space="preserve"> або сформулювати мотиви незастосування таких висновків, оцінивши їх структуру, </w:t>
            </w:r>
            <w:r w:rsidR="00E316F0">
              <w:rPr>
                <w:rFonts w:ascii="Times New Roman" w:hAnsi="Times New Roman"/>
                <w:bCs/>
                <w:color w:val="auto"/>
                <w:lang w:bidi="uk-UA"/>
              </w:rPr>
              <w:t xml:space="preserve">логіку та ключові ідеї </w:t>
            </w:r>
          </w:p>
        </w:tc>
      </w:tr>
      <w:tr w:rsidR="00FF3C79" w:rsidRPr="0009318E" w14:paraId="63557822" w14:textId="77777777" w:rsidTr="003B0232">
        <w:trPr>
          <w:jc w:val="center"/>
        </w:trPr>
        <w:tc>
          <w:tcPr>
            <w:tcW w:w="704" w:type="dxa"/>
            <w:vAlign w:val="center"/>
          </w:tcPr>
          <w:p w14:paraId="51304656" w14:textId="77777777" w:rsidR="00FF3C79" w:rsidRPr="0009318E" w:rsidRDefault="00AD58F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lastRenderedPageBreak/>
              <w:t>1.</w:t>
            </w:r>
            <w:r w:rsidR="0057058A" w:rsidRPr="0009318E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3923" w:type="dxa"/>
            <w:vAlign w:val="center"/>
          </w:tcPr>
          <w:p w14:paraId="440720D1" w14:textId="4D46BD54" w:rsidR="00FF3C79" w:rsidRPr="00C15B29" w:rsidRDefault="00237092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</w:rPr>
              <w:t>Висновок</w:t>
            </w:r>
            <w:r w:rsidR="009C10C8">
              <w:rPr>
                <w:rFonts w:ascii="Times New Roman" w:hAnsi="Times New Roman"/>
                <w:bCs/>
                <w:color w:val="auto"/>
              </w:rPr>
              <w:t xml:space="preserve">, чи було і ким порушено права чи інтереси, за захистом яких </w:t>
            </w:r>
            <w:r w:rsidR="0008283C">
              <w:rPr>
                <w:rFonts w:ascii="Times New Roman" w:hAnsi="Times New Roman"/>
                <w:bCs/>
                <w:color w:val="auto"/>
              </w:rPr>
              <w:t xml:space="preserve">звернулися до суду, та мотиви такого висновку </w:t>
            </w:r>
          </w:p>
        </w:tc>
        <w:tc>
          <w:tcPr>
            <w:tcW w:w="1577" w:type="dxa"/>
            <w:vAlign w:val="center"/>
          </w:tcPr>
          <w:p w14:paraId="6082C804" w14:textId="77777777" w:rsidR="00FF3C79" w:rsidRPr="0009318E" w:rsidRDefault="00AD58F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0-</w:t>
            </w:r>
            <w:r w:rsidR="00D2370E" w:rsidRPr="0009318E"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8738" w:type="dxa"/>
            <w:vAlign w:val="center"/>
          </w:tcPr>
          <w:p w14:paraId="14403658" w14:textId="77777777" w:rsidR="00FF3C79" w:rsidRPr="0009318E" w:rsidRDefault="00FF3C79" w:rsidP="0009318E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 xml:space="preserve">Кандидат </w:t>
            </w:r>
            <w:r w:rsidR="007B3636" w:rsidRPr="0009318E">
              <w:rPr>
                <w:rFonts w:ascii="Times New Roman" w:hAnsi="Times New Roman"/>
                <w:bCs/>
                <w:color w:val="auto"/>
              </w:rPr>
              <w:t>демонструє</w:t>
            </w:r>
            <w:r w:rsidRPr="0009318E">
              <w:rPr>
                <w:rFonts w:ascii="Times New Roman" w:hAnsi="Times New Roman"/>
                <w:bCs/>
                <w:color w:val="auto"/>
              </w:rPr>
              <w:t>:</w:t>
            </w:r>
          </w:p>
          <w:p w14:paraId="7E718F3A" w14:textId="77777777" w:rsidR="00AA4226" w:rsidRPr="0009318E" w:rsidRDefault="00AA4226" w:rsidP="00AA4226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уміння </w:t>
            </w:r>
            <w:r w:rsidRPr="00FB01E9">
              <w:rPr>
                <w:rFonts w:ascii="Times New Roman" w:hAnsi="Times New Roman"/>
                <w:bCs/>
                <w:color w:val="auto"/>
                <w:lang w:bidi="uk-UA"/>
              </w:rPr>
              <w:t>форму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лю</w:t>
            </w:r>
            <w:r w:rsidRPr="00FB01E9">
              <w:rPr>
                <w:rFonts w:ascii="Times New Roman" w:hAnsi="Times New Roman"/>
                <w:bCs/>
                <w:color w:val="auto"/>
                <w:lang w:bidi="uk-UA"/>
              </w:rPr>
              <w:t xml:space="preserve">вати висновок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про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порушен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ня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(відсутність порушення) 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прав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, свобод, законних інтересів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особи, яка звернулася до суду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; </w:t>
            </w:r>
          </w:p>
          <w:p w14:paraId="6590AC4A" w14:textId="77777777" w:rsidR="00AA4226" w:rsidRPr="0009318E" w:rsidRDefault="00AA4226" w:rsidP="00AA4226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Pr="00FB01E9">
              <w:rPr>
                <w:rFonts w:ascii="Times New Roman" w:hAnsi="Times New Roman"/>
                <w:bCs/>
                <w:color w:val="auto"/>
                <w:lang w:bidi="uk-UA"/>
              </w:rPr>
              <w:t>уміння</w:t>
            </w: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визначати</w:t>
            </w:r>
            <w:r w:rsidR="00C64414" w:rsidRPr="00BE47F4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у чому полягає втручання (незаконне позбавлення права, обмеження тощо)</w:t>
            </w:r>
            <w:r w:rsidR="00C64414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за умови наявності порушення прав, свобод та законних інтересів особи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7A2E7543" w14:textId="77777777" w:rsidR="00FF3C79" w:rsidRPr="0009318E" w:rsidRDefault="00AA4226" w:rsidP="00AA4226">
            <w:pPr>
              <w:jc w:val="both"/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Pr="008B7124">
              <w:rPr>
                <w:rFonts w:ascii="Times New Roman" w:hAnsi="Times New Roman"/>
                <w:bCs/>
                <w:color w:val="auto"/>
                <w:lang w:bidi="uk-UA"/>
              </w:rPr>
              <w:t>розумінн</w:t>
            </w: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я 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наслідк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ів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такого порушення</w:t>
            </w:r>
          </w:p>
        </w:tc>
      </w:tr>
      <w:tr w:rsidR="00AD58FB" w:rsidRPr="0009318E" w14:paraId="0A0C87EC" w14:textId="77777777" w:rsidTr="003B0232">
        <w:trPr>
          <w:jc w:val="center"/>
        </w:trPr>
        <w:tc>
          <w:tcPr>
            <w:tcW w:w="704" w:type="dxa"/>
            <w:vAlign w:val="center"/>
          </w:tcPr>
          <w:p w14:paraId="60EEA6A9" w14:textId="77777777" w:rsidR="00AD58FB" w:rsidRPr="0009318E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1.</w:t>
            </w:r>
            <w:r w:rsidR="0057058A" w:rsidRPr="0009318E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3923" w:type="dxa"/>
            <w:vAlign w:val="center"/>
          </w:tcPr>
          <w:p w14:paraId="3E7C9A54" w14:textId="300D1E11" w:rsidR="00AD58FB" w:rsidRPr="00C15B29" w:rsidRDefault="00561DBD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</w:rPr>
              <w:t>Узагальнений висновок про те</w:t>
            </w:r>
            <w:r w:rsidR="001F463C">
              <w:rPr>
                <w:rFonts w:ascii="Times New Roman" w:hAnsi="Times New Roman"/>
                <w:bCs/>
                <w:color w:val="auto"/>
              </w:rPr>
              <w:t>, яке судове рішення слід ухвалити за результатами розгляду справи</w:t>
            </w:r>
            <w:r w:rsidR="002B35D8">
              <w:rPr>
                <w:rFonts w:ascii="Times New Roman" w:hAnsi="Times New Roman"/>
                <w:bCs/>
                <w:color w:val="auto"/>
              </w:rPr>
              <w:t xml:space="preserve">, та обґрунтування судових витрат (із </w:t>
            </w:r>
            <w:r w:rsidR="00AB5596">
              <w:rPr>
                <w:rFonts w:ascii="Times New Roman" w:hAnsi="Times New Roman"/>
                <w:bCs/>
                <w:color w:val="auto"/>
              </w:rPr>
              <w:t>наведенням відповідного розрахунку за необхідності)</w:t>
            </w:r>
          </w:p>
        </w:tc>
        <w:tc>
          <w:tcPr>
            <w:tcW w:w="1577" w:type="dxa"/>
            <w:vAlign w:val="center"/>
          </w:tcPr>
          <w:p w14:paraId="4D3968CC" w14:textId="77777777" w:rsidR="00AD58FB" w:rsidRPr="0009318E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0-</w:t>
            </w:r>
            <w:r w:rsidR="00D2370E" w:rsidRPr="0009318E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14:paraId="07F07D17" w14:textId="77777777" w:rsidR="0040288D" w:rsidRDefault="0009318E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Кандидат демонструє</w:t>
            </w:r>
            <w:r w:rsidR="0040288D">
              <w:rPr>
                <w:rFonts w:ascii="Times New Roman" w:hAnsi="Times New Roman"/>
                <w:bCs/>
                <w:color w:val="auto"/>
              </w:rPr>
              <w:t>:</w:t>
            </w:r>
          </w:p>
          <w:p w14:paraId="3E523681" w14:textId="77777777" w:rsidR="00AD58FB" w:rsidRDefault="0040288D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>-</w:t>
            </w:r>
            <w:r w:rsidR="0009318E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7B3636" w:rsidRPr="0009318E">
              <w:rPr>
                <w:rFonts w:ascii="Times New Roman" w:hAnsi="Times New Roman"/>
                <w:bCs/>
                <w:color w:val="auto"/>
                <w:lang w:bidi="uk-UA"/>
              </w:rPr>
              <w:t>уміння чітко, логічно сформу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лю</w:t>
            </w:r>
            <w:r w:rsidR="007B3636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вати узагальнений </w:t>
            </w:r>
            <w:r w:rsidR="00AD58FB" w:rsidRPr="0009318E">
              <w:rPr>
                <w:rFonts w:ascii="Times New Roman" w:hAnsi="Times New Roman"/>
                <w:bCs/>
                <w:color w:val="auto"/>
                <w:lang w:bidi="uk-UA"/>
              </w:rPr>
              <w:t>виснов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ок</w:t>
            </w:r>
            <w:r w:rsidR="007B3636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про те, яке рішення слід ухвалити</w:t>
            </w:r>
            <w:r w:rsidR="00AD58FB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5613E1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(про задоволення позову повністю чи частково або про відмову у задоволенні позову) </w:t>
            </w:r>
            <w:r w:rsidR="00AD58FB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з урахуванням усіх </w:t>
            </w:r>
            <w:r w:rsidR="005613E1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встановлених </w:t>
            </w:r>
            <w:r w:rsidR="00AD58FB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обставин та </w:t>
            </w:r>
            <w:r w:rsidR="005613E1"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зроблених </w:t>
            </w:r>
            <w:r w:rsidR="00C15B29">
              <w:rPr>
                <w:rFonts w:ascii="Times New Roman" w:hAnsi="Times New Roman"/>
                <w:bCs/>
                <w:color w:val="auto"/>
                <w:lang w:bidi="uk-UA"/>
              </w:rPr>
              <w:t>правових висновків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2E76439C" w14:textId="3E46291C" w:rsidR="0040288D" w:rsidRPr="00C15B29" w:rsidRDefault="0040288D" w:rsidP="00BE47F4">
            <w:pPr>
              <w:jc w:val="both"/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DE50E7">
              <w:rPr>
                <w:rFonts w:ascii="Times New Roman" w:hAnsi="Times New Roman"/>
                <w:bCs/>
                <w:color w:val="auto"/>
                <w:lang w:bidi="uk-UA"/>
              </w:rPr>
              <w:t>- уміння врахувати правові висновки Верховного Суду щодо розподілу судових витрат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</w:p>
        </w:tc>
      </w:tr>
      <w:tr w:rsidR="002E5382" w:rsidRPr="0009318E" w14:paraId="5CC36B42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DC730D1" w14:textId="77777777" w:rsidR="002E5382" w:rsidRPr="0009318E" w:rsidRDefault="002E5382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7DA891B9" w14:textId="77777777" w:rsidR="002E5382" w:rsidRPr="00161B38" w:rsidRDefault="00161B38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46EB5134" w14:textId="77777777" w:rsidR="002E5382" w:rsidRPr="0009318E" w:rsidRDefault="002E5382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="0057058A" w:rsidRPr="0009318E">
              <w:rPr>
                <w:rFonts w:ascii="Times New Roman" w:hAnsi="Times New Roman"/>
                <w:b/>
                <w:bCs/>
                <w:color w:val="auto"/>
              </w:rPr>
              <w:t>55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4C97206A" w14:textId="77777777" w:rsidR="002E5382" w:rsidRPr="0009318E" w:rsidRDefault="002E5382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2E5382" w:rsidRPr="0009318E" w14:paraId="428913FF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4FF69A44" w14:textId="77777777" w:rsidR="002E5382" w:rsidRPr="0009318E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2. </w:t>
            </w:r>
            <w:r w:rsidR="002E5382" w:rsidRPr="0009318E">
              <w:rPr>
                <w:rFonts w:ascii="Times New Roman" w:hAnsi="Times New Roman"/>
                <w:b/>
                <w:bCs/>
                <w:color w:val="auto"/>
              </w:rPr>
              <w:t>Резолютивна частина</w:t>
            </w:r>
          </w:p>
        </w:tc>
      </w:tr>
      <w:tr w:rsidR="0000487B" w:rsidRPr="0009318E" w14:paraId="63C636BD" w14:textId="77777777" w:rsidTr="003B0232">
        <w:trPr>
          <w:jc w:val="center"/>
        </w:trPr>
        <w:tc>
          <w:tcPr>
            <w:tcW w:w="704" w:type="dxa"/>
            <w:vAlign w:val="center"/>
          </w:tcPr>
          <w:p w14:paraId="1FD0E9B1" w14:textId="77777777" w:rsidR="0000487B" w:rsidRPr="0009318E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2</w:t>
            </w:r>
            <w:r w:rsidR="003E095B" w:rsidRPr="0009318E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14:paraId="2CA1ECCA" w14:textId="4B7D912F" w:rsidR="0000487B" w:rsidRPr="00C15B29" w:rsidRDefault="00DA6447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Формулювання в</w:t>
            </w:r>
            <w:r w:rsidR="002E5382" w:rsidRPr="0009318E">
              <w:rPr>
                <w:rFonts w:ascii="Times New Roman" w:hAnsi="Times New Roman"/>
                <w:bCs/>
                <w:color w:val="auto"/>
              </w:rPr>
              <w:t>исновк</w:t>
            </w:r>
            <w:r w:rsidRPr="0009318E">
              <w:rPr>
                <w:rFonts w:ascii="Times New Roman" w:hAnsi="Times New Roman"/>
                <w:bCs/>
                <w:color w:val="auto"/>
              </w:rPr>
              <w:t>ів</w:t>
            </w:r>
            <w:r w:rsidR="00C15B29">
              <w:rPr>
                <w:rFonts w:ascii="Times New Roman" w:hAnsi="Times New Roman"/>
                <w:bCs/>
                <w:color w:val="auto"/>
              </w:rPr>
              <w:t xml:space="preserve"> суду </w:t>
            </w:r>
            <w:r w:rsidR="003C006C">
              <w:rPr>
                <w:rFonts w:ascii="Times New Roman" w:hAnsi="Times New Roman"/>
                <w:bCs/>
                <w:color w:val="auto"/>
              </w:rPr>
              <w:t xml:space="preserve">про задоволення позову чи про відмову в позові повністю або частково </w:t>
            </w:r>
            <w:r w:rsidR="00876C94">
              <w:rPr>
                <w:rFonts w:ascii="Times New Roman" w:hAnsi="Times New Roman"/>
                <w:bCs/>
                <w:color w:val="auto"/>
              </w:rPr>
              <w:t>щодо кожної із заявлених вимог</w:t>
            </w:r>
          </w:p>
        </w:tc>
        <w:tc>
          <w:tcPr>
            <w:tcW w:w="1577" w:type="dxa"/>
            <w:vAlign w:val="center"/>
          </w:tcPr>
          <w:p w14:paraId="5B05D1C8" w14:textId="77777777" w:rsidR="0000487B" w:rsidRPr="0009318E" w:rsidRDefault="008D7CA1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09318E">
              <w:rPr>
                <w:rFonts w:ascii="Times New Roman" w:hAnsi="Times New Roman"/>
                <w:color w:val="auto"/>
              </w:rPr>
              <w:t>0-</w:t>
            </w:r>
            <w:r w:rsidR="00D2370E" w:rsidRPr="0009318E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738" w:type="dxa"/>
            <w:vAlign w:val="center"/>
          </w:tcPr>
          <w:p w14:paraId="094DBBAD" w14:textId="77777777" w:rsidR="002E5382" w:rsidRPr="00DE50E7" w:rsidRDefault="002E5382" w:rsidP="0009318E">
            <w:pPr>
              <w:rPr>
                <w:rFonts w:ascii="Times New Roman" w:hAnsi="Times New Roman"/>
                <w:color w:val="auto"/>
              </w:rPr>
            </w:pPr>
            <w:r w:rsidRPr="00DE50E7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14:paraId="0625A368" w14:textId="2400556F" w:rsidR="008275D4" w:rsidRPr="00BE47F4" w:rsidRDefault="0009318E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B24DAB" w:rsidRPr="00BE47F4">
              <w:rPr>
                <w:rFonts w:ascii="Times New Roman" w:hAnsi="Times New Roman"/>
                <w:bCs/>
                <w:color w:val="auto"/>
                <w:lang w:bidi="uk-UA"/>
              </w:rPr>
              <w:t>уміння застосовувати</w:t>
            </w:r>
            <w:r w:rsidR="002E5382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</w:t>
            </w:r>
            <w:r w:rsidR="00B24DAB" w:rsidRPr="00BE47F4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 w:rsidR="002E5382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процесуального права щодо змісту та структури рез</w:t>
            </w:r>
            <w:r w:rsidR="008275D4" w:rsidRPr="00BE47F4">
              <w:rPr>
                <w:rFonts w:ascii="Times New Roman" w:hAnsi="Times New Roman"/>
                <w:bCs/>
                <w:color w:val="auto"/>
                <w:lang w:bidi="uk-UA"/>
              </w:rPr>
              <w:t>о</w:t>
            </w:r>
            <w:r w:rsidR="002E5382" w:rsidRPr="00BE47F4">
              <w:rPr>
                <w:rFonts w:ascii="Times New Roman" w:hAnsi="Times New Roman"/>
                <w:bCs/>
                <w:color w:val="auto"/>
                <w:lang w:bidi="uk-UA"/>
              </w:rPr>
              <w:t>л</w:t>
            </w:r>
            <w:r w:rsidR="008275D4" w:rsidRPr="00BE47F4">
              <w:rPr>
                <w:rFonts w:ascii="Times New Roman" w:hAnsi="Times New Roman"/>
                <w:bCs/>
                <w:color w:val="auto"/>
                <w:lang w:bidi="uk-UA"/>
              </w:rPr>
              <w:t>ю</w:t>
            </w:r>
            <w:r w:rsidR="002E5382" w:rsidRPr="00BE47F4">
              <w:rPr>
                <w:rFonts w:ascii="Times New Roman" w:hAnsi="Times New Roman"/>
                <w:bCs/>
                <w:color w:val="auto"/>
                <w:lang w:bidi="uk-UA"/>
              </w:rPr>
              <w:t>тивної частини рішення суду першої інстанції</w:t>
            </w:r>
            <w:r w:rsidR="002C6949" w:rsidRPr="00BE47F4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6CFA922A" w14:textId="77777777" w:rsidR="0094157E" w:rsidRPr="00C15B29" w:rsidRDefault="0094157E" w:rsidP="00BE47F4">
            <w:pPr>
              <w:jc w:val="both"/>
              <w:rPr>
                <w:rFonts w:ascii="Times New Roman" w:hAnsi="Times New Roman"/>
                <w:color w:val="auto"/>
              </w:rPr>
            </w:pPr>
            <w:r w:rsidRPr="00DE50E7">
              <w:rPr>
                <w:rFonts w:ascii="Times New Roman" w:hAnsi="Times New Roman"/>
                <w:bCs/>
                <w:color w:val="auto"/>
                <w:lang w:bidi="uk-UA"/>
              </w:rPr>
              <w:t>- уміння робити чіткі та логічні висновки за результатами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правозастосування (у разі необхідності вка</w:t>
            </w:r>
            <w:r w:rsidR="00A145CE">
              <w:rPr>
                <w:rFonts w:ascii="Times New Roman" w:hAnsi="Times New Roman"/>
                <w:bCs/>
                <w:color w:val="auto"/>
                <w:lang w:bidi="uk-UA"/>
              </w:rPr>
              <w:t>з</w:t>
            </w:r>
            <w:r w:rsidRPr="0009318E">
              <w:rPr>
                <w:rFonts w:ascii="Times New Roman" w:hAnsi="Times New Roman"/>
                <w:bCs/>
                <w:color w:val="auto"/>
                <w:lang w:bidi="uk-UA"/>
              </w:rPr>
              <w:t>ати про вирішення інших процесуальних питань)</w:t>
            </w:r>
          </w:p>
        </w:tc>
      </w:tr>
      <w:tr w:rsidR="00794E96" w:rsidRPr="0009318E" w14:paraId="228E67C6" w14:textId="77777777" w:rsidTr="003B0232">
        <w:trPr>
          <w:jc w:val="center"/>
        </w:trPr>
        <w:tc>
          <w:tcPr>
            <w:tcW w:w="704" w:type="dxa"/>
            <w:vAlign w:val="center"/>
          </w:tcPr>
          <w:p w14:paraId="462ED6A3" w14:textId="77777777" w:rsidR="00794E96" w:rsidRPr="0009318E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2.2</w:t>
            </w:r>
          </w:p>
        </w:tc>
        <w:tc>
          <w:tcPr>
            <w:tcW w:w="3923" w:type="dxa"/>
            <w:vAlign w:val="center"/>
          </w:tcPr>
          <w:p w14:paraId="0DED0D39" w14:textId="77777777" w:rsidR="00794E96" w:rsidRPr="0009318E" w:rsidRDefault="00794E96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Розподіл судових витрат</w:t>
            </w:r>
          </w:p>
        </w:tc>
        <w:tc>
          <w:tcPr>
            <w:tcW w:w="1577" w:type="dxa"/>
            <w:vAlign w:val="center"/>
          </w:tcPr>
          <w:p w14:paraId="5A210DA9" w14:textId="02DACC71" w:rsidR="00794E96" w:rsidRPr="0009318E" w:rsidRDefault="003E095B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09318E">
              <w:rPr>
                <w:rFonts w:ascii="Times New Roman" w:hAnsi="Times New Roman"/>
                <w:color w:val="auto"/>
              </w:rPr>
              <w:t>0-</w:t>
            </w:r>
            <w:r w:rsidR="005B34C7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8738" w:type="dxa"/>
            <w:vAlign w:val="center"/>
          </w:tcPr>
          <w:p w14:paraId="2719C45A" w14:textId="5022E81B" w:rsidR="00794E96" w:rsidRPr="00BF0FF2" w:rsidRDefault="0094157E" w:rsidP="0009318E">
            <w:pPr>
              <w:rPr>
                <w:rFonts w:ascii="Times New Roman" w:hAnsi="Times New Roman"/>
                <w:color w:val="auto"/>
              </w:rPr>
            </w:pPr>
            <w:r w:rsidRPr="0009318E">
              <w:rPr>
                <w:rFonts w:ascii="Times New Roman" w:hAnsi="Times New Roman"/>
                <w:color w:val="auto"/>
              </w:rPr>
              <w:t>Кандидат демонструє</w:t>
            </w:r>
            <w:r w:rsidR="00BF0FF2">
              <w:rPr>
                <w:rFonts w:ascii="Times New Roman" w:hAnsi="Times New Roman"/>
                <w:color w:val="auto"/>
              </w:rPr>
              <w:t xml:space="preserve"> </w:t>
            </w:r>
            <w:r w:rsidR="00A60CB0">
              <w:rPr>
                <w:rFonts w:ascii="Times New Roman" w:hAnsi="Times New Roman"/>
                <w:color w:val="auto"/>
              </w:rPr>
              <w:t>розуміння</w:t>
            </w:r>
            <w:r w:rsidRPr="0009318E">
              <w:rPr>
                <w:rFonts w:ascii="Times New Roman" w:hAnsi="Times New Roman"/>
                <w:color w:val="auto"/>
              </w:rPr>
              <w:t xml:space="preserve"> норм законодавства</w:t>
            </w:r>
            <w:r w:rsidR="00A145CE">
              <w:rPr>
                <w:rFonts w:ascii="Times New Roman" w:hAnsi="Times New Roman"/>
                <w:color w:val="auto"/>
              </w:rPr>
              <w:t>,</w:t>
            </w:r>
            <w:r w:rsidRPr="0009318E">
              <w:rPr>
                <w:rFonts w:ascii="Times New Roman" w:hAnsi="Times New Roman"/>
                <w:color w:val="auto"/>
              </w:rPr>
              <w:t xml:space="preserve"> яке </w:t>
            </w:r>
            <w:r w:rsidR="008275D4" w:rsidRPr="0009318E">
              <w:rPr>
                <w:rFonts w:ascii="Times New Roman" w:hAnsi="Times New Roman"/>
                <w:color w:val="auto"/>
              </w:rPr>
              <w:t>визнач</w:t>
            </w:r>
            <w:r w:rsidRPr="0009318E">
              <w:rPr>
                <w:rFonts w:ascii="Times New Roman" w:hAnsi="Times New Roman"/>
                <w:color w:val="auto"/>
              </w:rPr>
              <w:t>ає</w:t>
            </w:r>
            <w:r w:rsidR="00794E96" w:rsidRPr="0009318E">
              <w:rPr>
                <w:rFonts w:ascii="Times New Roman" w:hAnsi="Times New Roman"/>
                <w:color w:val="auto"/>
              </w:rPr>
              <w:t xml:space="preserve"> поряд</w:t>
            </w:r>
            <w:r w:rsidRPr="0009318E">
              <w:rPr>
                <w:rFonts w:ascii="Times New Roman" w:hAnsi="Times New Roman"/>
                <w:color w:val="auto"/>
              </w:rPr>
              <w:t>ок</w:t>
            </w:r>
            <w:r w:rsidR="00794E96" w:rsidRPr="0009318E">
              <w:rPr>
                <w:rFonts w:ascii="Times New Roman" w:hAnsi="Times New Roman"/>
                <w:color w:val="auto"/>
              </w:rPr>
              <w:t xml:space="preserve"> розподілу судових витрат</w:t>
            </w:r>
            <w:r w:rsidR="00A145CE">
              <w:rPr>
                <w:rFonts w:ascii="Times New Roman" w:hAnsi="Times New Roman"/>
                <w:color w:val="auto"/>
              </w:rPr>
              <w:t>,</w:t>
            </w:r>
            <w:r w:rsidRPr="0009318E">
              <w:rPr>
                <w:rFonts w:ascii="Times New Roman" w:hAnsi="Times New Roman"/>
                <w:color w:val="auto"/>
              </w:rPr>
              <w:t xml:space="preserve"> та уміння їх застос</w:t>
            </w:r>
            <w:r w:rsidR="00FF3627">
              <w:rPr>
                <w:rFonts w:ascii="Times New Roman" w:hAnsi="Times New Roman"/>
                <w:color w:val="auto"/>
              </w:rPr>
              <w:t>у</w:t>
            </w:r>
            <w:r w:rsidRPr="0009318E">
              <w:rPr>
                <w:rFonts w:ascii="Times New Roman" w:hAnsi="Times New Roman"/>
                <w:color w:val="auto"/>
              </w:rPr>
              <w:t>в</w:t>
            </w:r>
            <w:r w:rsidR="00FF3627">
              <w:rPr>
                <w:rFonts w:ascii="Times New Roman" w:hAnsi="Times New Roman"/>
                <w:color w:val="auto"/>
              </w:rPr>
              <w:t>а</w:t>
            </w:r>
            <w:r w:rsidRPr="0009318E">
              <w:rPr>
                <w:rFonts w:ascii="Times New Roman" w:hAnsi="Times New Roman"/>
                <w:color w:val="auto"/>
              </w:rPr>
              <w:t>ти при ухваленні рішення</w:t>
            </w:r>
          </w:p>
        </w:tc>
      </w:tr>
      <w:tr w:rsidR="00794E96" w:rsidRPr="0009318E" w14:paraId="34B5D388" w14:textId="77777777" w:rsidTr="003B0232">
        <w:trPr>
          <w:jc w:val="center"/>
        </w:trPr>
        <w:tc>
          <w:tcPr>
            <w:tcW w:w="704" w:type="dxa"/>
            <w:vAlign w:val="center"/>
          </w:tcPr>
          <w:p w14:paraId="4C2FCE73" w14:textId="77777777" w:rsidR="00794E96" w:rsidRPr="0009318E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2.3</w:t>
            </w:r>
          </w:p>
        </w:tc>
        <w:tc>
          <w:tcPr>
            <w:tcW w:w="3923" w:type="dxa"/>
            <w:vAlign w:val="center"/>
          </w:tcPr>
          <w:p w14:paraId="61100278" w14:textId="13A5B2BA" w:rsidR="00794E96" w:rsidRPr="00C15B29" w:rsidRDefault="00616ABB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lang w:val="en-US"/>
              </w:rPr>
              <w:t>C</w:t>
            </w:r>
            <w:r w:rsidR="00973421">
              <w:rPr>
                <w:rFonts w:ascii="Times New Roman" w:hAnsi="Times New Roman"/>
                <w:bCs/>
                <w:color w:val="auto"/>
              </w:rPr>
              <w:t>трок</w:t>
            </w:r>
            <w:r>
              <w:rPr>
                <w:rFonts w:ascii="Times New Roman" w:hAnsi="Times New Roman"/>
                <w:bCs/>
                <w:color w:val="auto"/>
              </w:rPr>
              <w:t>и</w:t>
            </w:r>
            <w:r w:rsidR="00973421">
              <w:rPr>
                <w:rFonts w:ascii="Times New Roman" w:hAnsi="Times New Roman"/>
                <w:bCs/>
                <w:color w:val="auto"/>
              </w:rPr>
              <w:t xml:space="preserve"> та </w:t>
            </w:r>
            <w:r w:rsidR="00794E96" w:rsidRPr="0009318E">
              <w:rPr>
                <w:rFonts w:ascii="Times New Roman" w:hAnsi="Times New Roman"/>
                <w:bCs/>
                <w:color w:val="auto"/>
              </w:rPr>
              <w:t>поряд</w:t>
            </w:r>
            <w:r>
              <w:rPr>
                <w:rFonts w:ascii="Times New Roman" w:hAnsi="Times New Roman"/>
                <w:bCs/>
                <w:color w:val="auto"/>
              </w:rPr>
              <w:t>ок</w:t>
            </w:r>
            <w:r w:rsidR="00973421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C15B29">
              <w:rPr>
                <w:rFonts w:ascii="Times New Roman" w:hAnsi="Times New Roman"/>
                <w:bCs/>
                <w:color w:val="auto"/>
              </w:rPr>
              <w:t>набрання</w:t>
            </w:r>
            <w:r w:rsidR="00CA01DA">
              <w:rPr>
                <w:rFonts w:ascii="Times New Roman" w:hAnsi="Times New Roman"/>
                <w:bCs/>
                <w:color w:val="auto"/>
              </w:rPr>
              <w:t xml:space="preserve"> судовим</w:t>
            </w:r>
            <w:r w:rsidR="00C15B29">
              <w:rPr>
                <w:rFonts w:ascii="Times New Roman" w:hAnsi="Times New Roman"/>
                <w:bCs/>
                <w:color w:val="auto"/>
              </w:rPr>
              <w:t xml:space="preserve"> рішенням законної сили</w:t>
            </w:r>
            <w:r w:rsidR="00C03C8F">
              <w:rPr>
                <w:rFonts w:ascii="Times New Roman" w:hAnsi="Times New Roman"/>
                <w:bCs/>
                <w:color w:val="auto"/>
              </w:rPr>
              <w:t xml:space="preserve"> та його </w:t>
            </w:r>
            <w:r w:rsidR="00C03C8F" w:rsidRPr="00DE50E7">
              <w:rPr>
                <w:rFonts w:ascii="Times New Roman" w:hAnsi="Times New Roman"/>
                <w:bCs/>
                <w:color w:val="auto"/>
              </w:rPr>
              <w:t>оскарження</w:t>
            </w:r>
            <w:r w:rsidRPr="00DE50E7">
              <w:rPr>
                <w:rFonts w:ascii="Times New Roman" w:hAnsi="Times New Roman"/>
                <w:bCs/>
                <w:color w:val="auto"/>
              </w:rPr>
              <w:t>.</w:t>
            </w:r>
            <w:r w:rsidR="001B588E" w:rsidRPr="00DE50E7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DE50E7">
              <w:rPr>
                <w:rFonts w:ascii="Times New Roman" w:hAnsi="Times New Roman"/>
                <w:bCs/>
                <w:color w:val="auto"/>
              </w:rPr>
              <w:t>І</w:t>
            </w:r>
            <w:r w:rsidR="001B588E" w:rsidRPr="00DE50E7">
              <w:rPr>
                <w:rFonts w:ascii="Times New Roman" w:hAnsi="Times New Roman"/>
                <w:bCs/>
                <w:color w:val="auto"/>
              </w:rPr>
              <w:t>нформаці</w:t>
            </w:r>
            <w:r w:rsidRPr="00DE50E7">
              <w:rPr>
                <w:rFonts w:ascii="Times New Roman" w:hAnsi="Times New Roman"/>
                <w:bCs/>
                <w:color w:val="auto"/>
              </w:rPr>
              <w:t>я</w:t>
            </w:r>
            <w:r w:rsidR="001B588E" w:rsidRPr="00DE50E7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F10D1B" w:rsidRPr="00DE50E7">
              <w:rPr>
                <w:rFonts w:ascii="Times New Roman" w:hAnsi="Times New Roman"/>
                <w:bCs/>
                <w:color w:val="auto"/>
              </w:rPr>
              <w:t xml:space="preserve">про </w:t>
            </w:r>
            <w:r w:rsidR="005019BE" w:rsidRPr="00DE50E7">
              <w:rPr>
                <w:rFonts w:ascii="Times New Roman" w:hAnsi="Times New Roman"/>
                <w:bCs/>
                <w:color w:val="auto"/>
              </w:rPr>
              <w:t>стор</w:t>
            </w:r>
            <w:r w:rsidRPr="00DE50E7">
              <w:rPr>
                <w:rFonts w:ascii="Times New Roman" w:hAnsi="Times New Roman"/>
                <w:bCs/>
                <w:color w:val="auto"/>
              </w:rPr>
              <w:t>они</w:t>
            </w:r>
            <w:r w:rsidR="005019BE">
              <w:rPr>
                <w:rFonts w:ascii="Times New Roman" w:hAnsi="Times New Roman"/>
                <w:bCs/>
                <w:color w:val="auto"/>
              </w:rPr>
              <w:t xml:space="preserve"> та інших учасників справи </w:t>
            </w:r>
          </w:p>
        </w:tc>
        <w:tc>
          <w:tcPr>
            <w:tcW w:w="1577" w:type="dxa"/>
            <w:vAlign w:val="center"/>
          </w:tcPr>
          <w:p w14:paraId="3E3B96A0" w14:textId="2348F40A" w:rsidR="00794E96" w:rsidRPr="0009318E" w:rsidRDefault="003E095B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09318E">
              <w:rPr>
                <w:rFonts w:ascii="Times New Roman" w:hAnsi="Times New Roman"/>
                <w:color w:val="auto"/>
              </w:rPr>
              <w:t>0-</w:t>
            </w:r>
            <w:r w:rsidR="008C2880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14:paraId="40919932" w14:textId="77777777" w:rsidR="005F40EC" w:rsidRPr="009424D4" w:rsidRDefault="0094157E" w:rsidP="0009318E">
            <w:pPr>
              <w:rPr>
                <w:rFonts w:ascii="Times New Roman" w:hAnsi="Times New Roman"/>
                <w:color w:val="auto"/>
              </w:rPr>
            </w:pPr>
            <w:r w:rsidRPr="009424D4">
              <w:rPr>
                <w:rFonts w:ascii="Times New Roman" w:hAnsi="Times New Roman"/>
                <w:color w:val="auto"/>
              </w:rPr>
              <w:t>Кандидат демонструє</w:t>
            </w:r>
            <w:r w:rsidR="005F40EC" w:rsidRPr="009424D4">
              <w:rPr>
                <w:rFonts w:ascii="Times New Roman" w:hAnsi="Times New Roman"/>
                <w:color w:val="auto"/>
              </w:rPr>
              <w:t>:</w:t>
            </w:r>
          </w:p>
          <w:p w14:paraId="739742A5" w14:textId="3294832E" w:rsidR="00C3455E" w:rsidRPr="00BE47F4" w:rsidRDefault="00BE47F4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val="en-US" w:bidi="uk-UA"/>
              </w:rPr>
              <w:t xml:space="preserve">-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="0094157E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релевантних норм процесуального закону</w:t>
            </w:r>
            <w:r w:rsidR="00FF3627" w:rsidRPr="00BE47F4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="0094157E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уміння </w:t>
            </w:r>
            <w:r w:rsidR="00C3455E" w:rsidRPr="00BE47F4">
              <w:rPr>
                <w:rFonts w:ascii="Times New Roman" w:hAnsi="Times New Roman"/>
                <w:bCs/>
                <w:color w:val="auto"/>
                <w:lang w:bidi="uk-UA"/>
              </w:rPr>
              <w:t>чітк</w:t>
            </w:r>
            <w:r w:rsidR="0094157E" w:rsidRPr="00BE47F4">
              <w:rPr>
                <w:rFonts w:ascii="Times New Roman" w:hAnsi="Times New Roman"/>
                <w:bCs/>
                <w:color w:val="auto"/>
                <w:lang w:bidi="uk-UA"/>
              </w:rPr>
              <w:t>о</w:t>
            </w:r>
            <w:r w:rsidR="00C3455E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визнач</w:t>
            </w:r>
            <w:r w:rsidR="0094157E" w:rsidRPr="00BE47F4">
              <w:rPr>
                <w:rFonts w:ascii="Times New Roman" w:hAnsi="Times New Roman"/>
                <w:bCs/>
                <w:color w:val="auto"/>
                <w:lang w:bidi="uk-UA"/>
              </w:rPr>
              <w:t>ити</w:t>
            </w:r>
            <w:r w:rsidR="00C3455E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момент, з яког</w:t>
            </w:r>
            <w:r w:rsidR="00161B38" w:rsidRPr="00BE47F4">
              <w:rPr>
                <w:rFonts w:ascii="Times New Roman" w:hAnsi="Times New Roman"/>
                <w:bCs/>
                <w:color w:val="auto"/>
                <w:lang w:bidi="uk-UA"/>
              </w:rPr>
              <w:t>о рішення набирає законної сили</w:t>
            </w:r>
            <w:r w:rsidR="005F40EC" w:rsidRPr="00BE47F4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742F95FB" w14:textId="01791A69" w:rsidR="005F40EC" w:rsidRPr="00BE47F4" w:rsidRDefault="00BE47F4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val="en-US" w:bidi="uk-UA"/>
              </w:rPr>
              <w:t xml:space="preserve">-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="006A263F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 процесуального </w:t>
            </w:r>
            <w:r w:rsidR="00FD0620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закону, </w:t>
            </w:r>
            <w:r w:rsidR="00991656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які визначають підстави, строк та порядок оскарження </w:t>
            </w:r>
            <w:r w:rsidR="008D2443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рішення </w:t>
            </w:r>
            <w:r w:rsidR="00991656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суду першої </w:t>
            </w:r>
            <w:r w:rsidR="008D2443" w:rsidRPr="00BE47F4">
              <w:rPr>
                <w:rFonts w:ascii="Times New Roman" w:hAnsi="Times New Roman"/>
                <w:bCs/>
                <w:color w:val="auto"/>
                <w:lang w:bidi="uk-UA"/>
              </w:rPr>
              <w:t>інстанції, та уміння їх застосовувати</w:t>
            </w:r>
            <w:r w:rsidR="00396A92">
              <w:rPr>
                <w:rFonts w:ascii="Times New Roman" w:hAnsi="Times New Roman"/>
                <w:bCs/>
                <w:color w:val="auto"/>
                <w:lang w:bidi="uk-UA"/>
              </w:rPr>
              <w:t>.</w:t>
            </w:r>
          </w:p>
          <w:p w14:paraId="0F0E5A96" w14:textId="562270A5" w:rsidR="003D521A" w:rsidRPr="00396A92" w:rsidRDefault="00396A92" w:rsidP="00BE47F4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>К</w:t>
            </w:r>
            <w:r w:rsidR="007E5D1A" w:rsidRPr="00BE47F4">
              <w:rPr>
                <w:rFonts w:ascii="Times New Roman" w:hAnsi="Times New Roman"/>
                <w:bCs/>
                <w:color w:val="auto"/>
                <w:lang w:bidi="uk-UA"/>
              </w:rPr>
              <w:t>андидат зазначає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7E5D1A" w:rsidRPr="00BE47F4">
              <w:rPr>
                <w:rFonts w:ascii="Times New Roman" w:hAnsi="Times New Roman"/>
                <w:bCs/>
                <w:color w:val="auto"/>
                <w:lang w:bidi="uk-UA"/>
              </w:rPr>
              <w:t>повне найменування</w:t>
            </w:r>
            <w:r w:rsidR="00117C39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(для юридичних осіб) або прізвище, </w:t>
            </w:r>
            <w:r w:rsidR="002C6949" w:rsidRPr="00BE47F4">
              <w:rPr>
                <w:rFonts w:ascii="Times New Roman" w:hAnsi="Times New Roman"/>
                <w:bCs/>
                <w:color w:val="auto"/>
                <w:lang w:bidi="uk-UA"/>
              </w:rPr>
              <w:t>ім’я</w:t>
            </w:r>
            <w:r w:rsidR="00117C39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по батькові </w:t>
            </w:r>
            <w:r w:rsidR="006D5EA7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(для фізичних осіб) </w:t>
            </w:r>
            <w:r w:rsidR="00D872DF" w:rsidRPr="00BE47F4">
              <w:rPr>
                <w:rFonts w:ascii="Times New Roman" w:hAnsi="Times New Roman"/>
                <w:bCs/>
                <w:color w:val="auto"/>
                <w:lang w:bidi="uk-UA"/>
              </w:rPr>
              <w:t>сторін та інших учасників справи, їх місце знаходження (для юридичних осіб)</w:t>
            </w:r>
            <w:r w:rsidR="00FA02F0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або місце проживання чи перебування (для фізичних осіб), ідентифікаційний код юридичної особи </w:t>
            </w:r>
            <w:r w:rsidR="00A84212" w:rsidRPr="00BE47F4">
              <w:rPr>
                <w:rFonts w:ascii="Times New Roman" w:hAnsi="Times New Roman"/>
                <w:bCs/>
                <w:color w:val="auto"/>
                <w:lang w:bidi="uk-UA"/>
              </w:rPr>
              <w:t>в Єдиному державному реєстрі підприємств і організацій України</w:t>
            </w:r>
            <w:r w:rsidR="00631FB0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, </w:t>
            </w:r>
            <w:r w:rsidR="002C6949" w:rsidRPr="00BE47F4">
              <w:rPr>
                <w:rFonts w:ascii="Times New Roman" w:hAnsi="Times New Roman"/>
                <w:bCs/>
                <w:color w:val="auto"/>
                <w:lang w:bidi="uk-UA"/>
              </w:rPr>
              <w:t>реєстраційний</w:t>
            </w:r>
            <w:r w:rsidR="00631FB0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номер облікової картки платника податків сторін</w:t>
            </w:r>
            <w:r w:rsidR="0090698C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(для фізичних осіб) за наявності або номер і серія паспорта для фізичних осіб</w:t>
            </w:r>
            <w:r w:rsidR="00F64453" w:rsidRPr="00BE47F4">
              <w:rPr>
                <w:rFonts w:ascii="Times New Roman" w:hAnsi="Times New Roman"/>
                <w:bCs/>
                <w:color w:val="auto"/>
                <w:lang w:bidi="uk-UA"/>
              </w:rPr>
              <w:t xml:space="preserve"> - громадян України</w:t>
            </w:r>
          </w:p>
        </w:tc>
      </w:tr>
      <w:tr w:rsidR="003E095B" w:rsidRPr="0009318E" w14:paraId="44366749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8C8B6E6" w14:textId="77777777" w:rsidR="003E095B" w:rsidRPr="0009318E" w:rsidRDefault="003E095B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671D601B" w14:textId="77777777" w:rsidR="003E095B" w:rsidRPr="00161B38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6CFCE1BE" w14:textId="77777777" w:rsidR="003E095B" w:rsidRPr="00161B38" w:rsidRDefault="003E095B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161B38">
              <w:rPr>
                <w:rFonts w:ascii="Times New Roman" w:hAnsi="Times New Roman"/>
                <w:b/>
                <w:bCs/>
                <w:color w:val="auto"/>
              </w:rPr>
              <w:t>0-1</w:t>
            </w:r>
            <w:r w:rsidR="00285737" w:rsidRPr="00161B38">
              <w:rPr>
                <w:rFonts w:ascii="Times New Roman" w:hAnsi="Times New Roman"/>
                <w:b/>
                <w:bCs/>
                <w:color w:val="auto"/>
                <w:lang w:val="en-US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3C6D327B" w14:textId="77777777" w:rsidR="003E095B" w:rsidRPr="0009318E" w:rsidRDefault="003E095B" w:rsidP="00161B38">
            <w:pPr>
              <w:pStyle w:val="a6"/>
              <w:ind w:left="507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A6447" w:rsidRPr="0009318E" w14:paraId="09D95A7D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762523BF" w14:textId="77777777" w:rsidR="00DA6447" w:rsidRPr="00161B38" w:rsidRDefault="00DA6447" w:rsidP="00161B3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161B38">
              <w:rPr>
                <w:rFonts w:ascii="Times New Roman" w:hAnsi="Times New Roman"/>
                <w:b/>
                <w:color w:val="auto"/>
              </w:rPr>
              <w:t>3. Дотримання стилістики судового рішення</w:t>
            </w:r>
          </w:p>
        </w:tc>
      </w:tr>
      <w:tr w:rsidR="0000487B" w:rsidRPr="0009318E" w14:paraId="0433512D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27129E0" w14:textId="77777777" w:rsidR="0000487B" w:rsidRPr="00161B38" w:rsidRDefault="00DA6447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61B38">
              <w:rPr>
                <w:rFonts w:ascii="Times New Roman" w:hAnsi="Times New Roman"/>
                <w:bCs/>
                <w:color w:val="auto"/>
              </w:rPr>
              <w:t>3.1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7A60669D" w14:textId="77777777" w:rsidR="0000487B" w:rsidRPr="0009318E" w:rsidRDefault="0000487B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 xml:space="preserve">Логічність, </w:t>
            </w:r>
            <w:r w:rsidR="00A94169" w:rsidRPr="0009318E">
              <w:rPr>
                <w:rFonts w:ascii="Times New Roman" w:hAnsi="Times New Roman"/>
                <w:bCs/>
                <w:color w:val="auto"/>
              </w:rPr>
              <w:t xml:space="preserve">структурованість, </w:t>
            </w:r>
            <w:r w:rsidRPr="0009318E">
              <w:rPr>
                <w:rFonts w:ascii="Times New Roman" w:hAnsi="Times New Roman"/>
                <w:bCs/>
                <w:color w:val="auto"/>
              </w:rPr>
              <w:t xml:space="preserve">грамотність та послідовність викладення тексту </w:t>
            </w:r>
            <w:r w:rsidR="00DA6447" w:rsidRPr="0009318E">
              <w:rPr>
                <w:rFonts w:ascii="Times New Roman" w:hAnsi="Times New Roman"/>
                <w:bCs/>
                <w:color w:val="auto"/>
              </w:rPr>
              <w:t>модельного судового рішення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5F4D98FB" w14:textId="77777777" w:rsidR="0000487B" w:rsidRPr="0009318E" w:rsidRDefault="008D7CA1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0-</w:t>
            </w:r>
            <w:r w:rsidR="0000487B" w:rsidRPr="0009318E">
              <w:rPr>
                <w:rFonts w:ascii="Times New Roman" w:hAnsi="Times New Roman"/>
                <w:bCs/>
                <w:color w:val="auto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3EF2D071" w14:textId="77777777" w:rsidR="0000487B" w:rsidRPr="00C15B29" w:rsidRDefault="00DB3AF0" w:rsidP="00161B38">
            <w:pPr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К</w:t>
            </w:r>
            <w:r w:rsidR="0000487B" w:rsidRPr="0009318E">
              <w:rPr>
                <w:rFonts w:ascii="Times New Roman" w:hAnsi="Times New Roman"/>
                <w:bCs/>
                <w:color w:val="auto"/>
              </w:rPr>
              <w:t xml:space="preserve">андидат демонструє уміння чітко, лаконічно, зрозуміло та послідовно письмово викладати елементи </w:t>
            </w:r>
            <w:r w:rsidR="003A3A3D" w:rsidRPr="0009318E">
              <w:rPr>
                <w:rFonts w:ascii="Times New Roman" w:hAnsi="Times New Roman"/>
                <w:bCs/>
                <w:color w:val="auto"/>
              </w:rPr>
              <w:t xml:space="preserve">мотивованого висновку </w:t>
            </w:r>
            <w:r w:rsidR="0000487B" w:rsidRPr="0009318E">
              <w:rPr>
                <w:rFonts w:ascii="Times New Roman" w:hAnsi="Times New Roman"/>
                <w:bCs/>
                <w:color w:val="auto"/>
              </w:rPr>
              <w:t>у їх логічному зв’язку</w:t>
            </w:r>
            <w:r w:rsidR="00A94169" w:rsidRPr="0009318E">
              <w:rPr>
                <w:rFonts w:ascii="Times New Roman" w:hAnsi="Times New Roman"/>
                <w:bCs/>
                <w:color w:val="auto"/>
              </w:rPr>
              <w:t xml:space="preserve"> (послідовність викладення обставин</w:t>
            </w:r>
            <w:r w:rsidR="00602D13" w:rsidRPr="0009318E">
              <w:rPr>
                <w:rFonts w:ascii="Times New Roman" w:hAnsi="Times New Roman"/>
                <w:bCs/>
                <w:color w:val="auto"/>
              </w:rPr>
              <w:t xml:space="preserve"> справи, застосування норм права</w:t>
            </w:r>
            <w:r w:rsidR="00A94169" w:rsidRPr="0009318E">
              <w:rPr>
                <w:rFonts w:ascii="Times New Roman" w:hAnsi="Times New Roman"/>
                <w:bCs/>
                <w:color w:val="auto"/>
              </w:rPr>
              <w:t xml:space="preserve">, </w:t>
            </w:r>
            <w:r w:rsidR="00602D13" w:rsidRPr="0009318E">
              <w:rPr>
                <w:rFonts w:ascii="Times New Roman" w:hAnsi="Times New Roman"/>
                <w:bCs/>
                <w:color w:val="auto"/>
              </w:rPr>
              <w:t>висновки</w:t>
            </w:r>
            <w:r w:rsidR="00A94169" w:rsidRPr="0009318E">
              <w:rPr>
                <w:rFonts w:ascii="Times New Roman" w:hAnsi="Times New Roman"/>
                <w:bCs/>
                <w:color w:val="auto"/>
              </w:rPr>
              <w:t>)</w:t>
            </w:r>
          </w:p>
        </w:tc>
      </w:tr>
      <w:tr w:rsidR="00161B38" w:rsidRPr="0009318E" w14:paraId="2402A498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FBDE1D2" w14:textId="77777777" w:rsidR="00161B38" w:rsidRPr="00161B38" w:rsidRDefault="00161B38" w:rsidP="00161B3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728D1126" w14:textId="77777777" w:rsidR="00161B38" w:rsidRPr="00161B38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28D7D32C" w14:textId="77777777" w:rsidR="00161B38" w:rsidRPr="00161B38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161B38">
              <w:rPr>
                <w:rFonts w:ascii="Times New Roman" w:hAnsi="Times New Roman"/>
                <w:b/>
                <w:bCs/>
                <w:color w:val="auto"/>
              </w:rPr>
              <w:t>0-</w:t>
            </w:r>
            <w:r>
              <w:rPr>
                <w:rFonts w:ascii="Times New Roman" w:hAnsi="Times New Roman"/>
                <w:b/>
                <w:bCs/>
                <w:color w:val="auto"/>
                <w:lang w:val="ru-RU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7ACCF5E7" w14:textId="77777777" w:rsidR="00161B38" w:rsidRPr="0009318E" w:rsidRDefault="00161B38" w:rsidP="00161B38">
            <w:pPr>
              <w:rPr>
                <w:bCs/>
                <w:color w:val="auto"/>
              </w:rPr>
            </w:pPr>
          </w:p>
        </w:tc>
      </w:tr>
      <w:tr w:rsidR="00161B38" w:rsidRPr="0009318E" w14:paraId="5092913B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1471107F" w14:textId="77777777" w:rsidR="00161B38" w:rsidRPr="0009318E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color w:val="auto"/>
              </w:rPr>
              <w:lastRenderedPageBreak/>
              <w:t>4. Дотримання правил орфографії та пунктуації</w:t>
            </w:r>
          </w:p>
        </w:tc>
      </w:tr>
      <w:tr w:rsidR="00161B38" w:rsidRPr="0009318E" w14:paraId="0B3A1B57" w14:textId="77777777" w:rsidTr="003B0232">
        <w:trPr>
          <w:jc w:val="center"/>
        </w:trPr>
        <w:tc>
          <w:tcPr>
            <w:tcW w:w="704" w:type="dxa"/>
            <w:vAlign w:val="center"/>
          </w:tcPr>
          <w:p w14:paraId="21DA6E02" w14:textId="77777777" w:rsidR="00161B38" w:rsidRPr="00161B38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61B38">
              <w:rPr>
                <w:rFonts w:ascii="Times New Roman" w:hAnsi="Times New Roman"/>
                <w:bCs/>
                <w:color w:val="auto"/>
              </w:rPr>
              <w:t>4.1</w:t>
            </w:r>
          </w:p>
        </w:tc>
        <w:tc>
          <w:tcPr>
            <w:tcW w:w="3923" w:type="dxa"/>
            <w:vAlign w:val="center"/>
          </w:tcPr>
          <w:p w14:paraId="53BB19F1" w14:textId="77777777" w:rsidR="00161B38" w:rsidRPr="0009318E" w:rsidRDefault="00161B38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Дотримання правил орфографії та пунктуації</w:t>
            </w:r>
          </w:p>
        </w:tc>
        <w:tc>
          <w:tcPr>
            <w:tcW w:w="1577" w:type="dxa"/>
            <w:vAlign w:val="center"/>
          </w:tcPr>
          <w:p w14:paraId="4BDF1CE0" w14:textId="77777777" w:rsidR="00161B38" w:rsidRPr="0009318E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0-2</w:t>
            </w:r>
          </w:p>
        </w:tc>
        <w:tc>
          <w:tcPr>
            <w:tcW w:w="8738" w:type="dxa"/>
            <w:vAlign w:val="center"/>
          </w:tcPr>
          <w:p w14:paraId="49638D8C" w14:textId="77777777" w:rsidR="00161B38" w:rsidRPr="00C15B29" w:rsidRDefault="00161B38" w:rsidP="0009318E">
            <w:pPr>
              <w:ind w:left="82"/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Кандидат демонструє правильне застосування правил орфографії та пунктуації згідно з українським правописом, дотри</w:t>
            </w:r>
            <w:r w:rsidR="00C15B29">
              <w:rPr>
                <w:rFonts w:ascii="Times New Roman" w:hAnsi="Times New Roman"/>
                <w:bCs/>
                <w:color w:val="auto"/>
              </w:rPr>
              <w:t>мується офіційно-ділового стилю</w:t>
            </w:r>
          </w:p>
        </w:tc>
      </w:tr>
      <w:tr w:rsidR="00161B38" w:rsidRPr="0009318E" w14:paraId="1F87A8C5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F378629" w14:textId="77777777" w:rsidR="00161B38" w:rsidRPr="0009318E" w:rsidRDefault="00161B38" w:rsidP="0009318E">
            <w:pPr>
              <w:rPr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2022BD85" w14:textId="77777777" w:rsidR="00161B38" w:rsidRPr="00161B38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6FCD5CFF" w14:textId="77777777" w:rsidR="00161B38" w:rsidRPr="00161B38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161B38">
              <w:rPr>
                <w:rFonts w:ascii="Times New Roman" w:hAnsi="Times New Roman"/>
                <w:b/>
                <w:bCs/>
                <w:color w:val="auto"/>
              </w:rPr>
              <w:t>0-</w:t>
            </w:r>
            <w:r>
              <w:rPr>
                <w:rFonts w:ascii="Times New Roman" w:hAnsi="Times New Roman"/>
                <w:b/>
                <w:bCs/>
                <w:color w:val="auto"/>
                <w:lang w:val="ru-RU"/>
              </w:rPr>
              <w:t>2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34759FFE" w14:textId="77777777" w:rsidR="00161B38" w:rsidRPr="0009318E" w:rsidRDefault="00161B38" w:rsidP="0009318E">
            <w:pPr>
              <w:rPr>
                <w:bCs/>
                <w:color w:val="auto"/>
              </w:rPr>
            </w:pPr>
          </w:p>
        </w:tc>
      </w:tr>
      <w:tr w:rsidR="00161B38" w:rsidRPr="0009318E" w14:paraId="50A35C47" w14:textId="77777777" w:rsidTr="003B0232">
        <w:trPr>
          <w:trHeight w:val="7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2624AB6" w14:textId="77777777" w:rsidR="00161B38" w:rsidRPr="00161B38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FD8E3FB" w14:textId="77777777" w:rsidR="00161B38" w:rsidRPr="00161B38" w:rsidRDefault="00161B38" w:rsidP="000F312B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161B38">
              <w:rPr>
                <w:rFonts w:ascii="Times New Roman" w:hAnsi="Times New Roman"/>
                <w:b/>
                <w:bCs/>
                <w:color w:val="auto"/>
              </w:rPr>
              <w:t>Загальна кількість балів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3EAF1968" w14:textId="77777777" w:rsidR="00161B38" w:rsidRPr="00161B38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161B38">
              <w:rPr>
                <w:rFonts w:ascii="Times New Roman" w:hAnsi="Times New Roman"/>
                <w:b/>
                <w:bCs/>
                <w:color w:val="auto"/>
              </w:rPr>
              <w:t>0-75</w:t>
            </w:r>
          </w:p>
        </w:tc>
        <w:tc>
          <w:tcPr>
            <w:tcW w:w="8738" w:type="dxa"/>
            <w:shd w:val="clear" w:color="auto" w:fill="D9D9D9" w:themeFill="background1" w:themeFillShade="D9"/>
            <w:vAlign w:val="center"/>
          </w:tcPr>
          <w:p w14:paraId="5E6E82F8" w14:textId="77777777" w:rsidR="00161B38" w:rsidRPr="00161B38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2617F71F" w14:textId="77777777" w:rsidR="006B15AE" w:rsidRPr="00C15B29" w:rsidRDefault="006B15AE" w:rsidP="0009318E">
      <w:pPr>
        <w:rPr>
          <w:lang w:val="ru-RU"/>
        </w:rPr>
      </w:pPr>
    </w:p>
    <w:p w14:paraId="00702640" w14:textId="342069AC" w:rsidR="005F625E" w:rsidRPr="00396A92" w:rsidRDefault="006719AE" w:rsidP="0009318E">
      <w:pPr>
        <w:pStyle w:val="MSGENFONTSTYLENAMETEMPLATEROLEMSGENFONTSTYLENAMEBYROLETEXT10"/>
        <w:spacing w:after="0"/>
        <w:jc w:val="both"/>
      </w:pPr>
      <w:r w:rsidRPr="00396A92">
        <w:rPr>
          <w:rStyle w:val="MSGENFONTSTYLENAMETEMPLATEROLEMSGENFONTSTYLENAMEBYROLETEXT1"/>
          <w:b/>
          <w:bCs/>
        </w:rPr>
        <w:t>Примітка</w:t>
      </w:r>
      <w:r w:rsidRPr="00396A92">
        <w:rPr>
          <w:rStyle w:val="MSGENFONTSTYLENAMETEMPLATEROLEMSGENFONTSTYLENAMEBYROLETEXT1"/>
        </w:rPr>
        <w:t xml:space="preserve">: залежно від обставин </w:t>
      </w:r>
      <w:r w:rsidR="003E095B" w:rsidRPr="00396A92">
        <w:rPr>
          <w:rStyle w:val="MSGENFONTSTYLENAMETEMPLATEROLEMSGENFONTSTYLENAMEBYROLETEXT1"/>
        </w:rPr>
        <w:t>мо</w:t>
      </w:r>
      <w:r w:rsidR="00EC30AC" w:rsidRPr="00396A92">
        <w:rPr>
          <w:rStyle w:val="MSGENFONTSTYLENAMETEMPLATEROLEMSGENFONTSTYLENAMEBYROLETEXT1"/>
        </w:rPr>
        <w:t>дельного судового рішення</w:t>
      </w:r>
      <w:r w:rsidRPr="00396A92">
        <w:rPr>
          <w:rStyle w:val="MSGENFONTSTYLENAMETEMPLATEROLEMSGENFONTSTYLENAMEBYROLETEXT1"/>
        </w:rPr>
        <w:t xml:space="preserve"> </w:t>
      </w:r>
      <w:r w:rsidR="002E1063" w:rsidRPr="00396A92">
        <w:rPr>
          <w:rStyle w:val="MSGENFONTSTYLENAMETEMPLATEROLEMSGENFONTSTYLENAMEBYROLETEXT1"/>
        </w:rPr>
        <w:t xml:space="preserve">член екзаменаційної комісії </w:t>
      </w:r>
      <w:r w:rsidRPr="00396A92">
        <w:rPr>
          <w:rStyle w:val="MSGENFONTSTYLENAMETEMPLATEROLEMSGENFONTSTYLENAMEBYROLETEXT1"/>
        </w:rPr>
        <w:t xml:space="preserve">може відступити від наведеної у </w:t>
      </w:r>
      <w:r w:rsidR="00FF3627" w:rsidRPr="00396A92">
        <w:rPr>
          <w:rStyle w:val="MSGENFONTSTYLENAMETEMPLATEROLEMSGENFONTSTYLENAMEBYROLETEXT1"/>
        </w:rPr>
        <w:t>м</w:t>
      </w:r>
      <w:r w:rsidRPr="00396A92">
        <w:rPr>
          <w:rStyle w:val="MSGENFONTSTYLENAMETEMPLATEROLEMSGENFONTSTYLENAMEBYROLETEXT1"/>
        </w:rPr>
        <w:t>етодичних вказівках структури та кількості виставлених балів за одним чи кількома елементами оцінювання, але не більше як на 10</w:t>
      </w:r>
      <w:r w:rsidR="00FF3627" w:rsidRPr="00396A92">
        <w:rPr>
          <w:rStyle w:val="MSGENFONTSTYLENAMETEMPLATEROLEMSGENFONTSTYLENAMEBYROLETEXT1"/>
        </w:rPr>
        <w:t> </w:t>
      </w:r>
      <w:r w:rsidRPr="00396A92">
        <w:rPr>
          <w:rStyle w:val="MSGENFONTSTYLENAMETEMPLATEROLEMSGENFONTSTYLENAMEBYROLETEXT1"/>
        </w:rPr>
        <w:t xml:space="preserve">%. У такому разі </w:t>
      </w:r>
      <w:r w:rsidR="00702FED" w:rsidRPr="00396A92">
        <w:rPr>
          <w:rStyle w:val="MSGENFONTSTYLENAMETEMPLATEROLEMSGENFONTSTYLENAMEBYROLETEXT1"/>
        </w:rPr>
        <w:t>член екзаменаційної комісії</w:t>
      </w:r>
      <w:r w:rsidRPr="00396A92">
        <w:rPr>
          <w:rStyle w:val="MSGENFONTSTYLENAMETEMPLATEROLEMSGENFONTSTYLENAMEBYROLETEXT1"/>
        </w:rPr>
        <w:t xml:space="preserve"> не може виходити за межі загальної </w:t>
      </w:r>
      <w:r w:rsidRPr="00396A92">
        <w:rPr>
          <w:rStyle w:val="MSGENFONTSTYLENAMETEMPLATEROLEMSGENFONTSTYLENAMEBYROLETEXT1"/>
          <w:color w:val="auto"/>
        </w:rPr>
        <w:t>кількості балів (</w:t>
      </w:r>
      <w:r w:rsidR="0057058A" w:rsidRPr="00396A92">
        <w:rPr>
          <w:rStyle w:val="MSGENFONTSTYLENAMETEMPLATEROLEMSGENFONTSTYLENAMEBYROLETEXT1"/>
          <w:color w:val="auto"/>
        </w:rPr>
        <w:t>75</w:t>
      </w:r>
      <w:r w:rsidRPr="00396A92">
        <w:rPr>
          <w:rStyle w:val="MSGENFONTSTYLENAMETEMPLATEROLEMSGENFONTSTYLENAMEBYROLETEXT1"/>
          <w:color w:val="auto"/>
        </w:rPr>
        <w:t>).</w:t>
      </w:r>
    </w:p>
    <w:sectPr w:rsidR="005F625E" w:rsidRPr="00396A92">
      <w:pgSz w:w="16840" w:h="11900" w:orient="landscape"/>
      <w:pgMar w:top="840" w:right="903" w:bottom="780" w:left="898" w:header="412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FD1CB" w14:textId="77777777" w:rsidR="00491E41" w:rsidRDefault="00491E41">
      <w:r>
        <w:separator/>
      </w:r>
    </w:p>
  </w:endnote>
  <w:endnote w:type="continuationSeparator" w:id="0">
    <w:p w14:paraId="5268963C" w14:textId="77777777" w:rsidR="00491E41" w:rsidRDefault="0049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6C71A" w14:textId="77777777" w:rsidR="00491E41" w:rsidRDefault="00491E41"/>
  </w:footnote>
  <w:footnote w:type="continuationSeparator" w:id="0">
    <w:p w14:paraId="429FD31F" w14:textId="77777777" w:rsidR="00491E41" w:rsidRDefault="00491E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674"/>
    <w:multiLevelType w:val="hybridMultilevel"/>
    <w:tmpl w:val="7BCA81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B97"/>
    <w:multiLevelType w:val="hybridMultilevel"/>
    <w:tmpl w:val="9C44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0E4"/>
    <w:multiLevelType w:val="hybridMultilevel"/>
    <w:tmpl w:val="8846569E"/>
    <w:lvl w:ilvl="0" w:tplc="6CF0C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EFC"/>
    <w:multiLevelType w:val="hybridMultilevel"/>
    <w:tmpl w:val="721AE860"/>
    <w:lvl w:ilvl="0" w:tplc="1890AAA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E62AB"/>
    <w:multiLevelType w:val="multilevel"/>
    <w:tmpl w:val="2EA6F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C03984"/>
    <w:multiLevelType w:val="hybridMultilevel"/>
    <w:tmpl w:val="0D84DD6C"/>
    <w:lvl w:ilvl="0" w:tplc="0DC23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56928"/>
    <w:multiLevelType w:val="hybridMultilevel"/>
    <w:tmpl w:val="0CBC0456"/>
    <w:lvl w:ilvl="0" w:tplc="48C419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E"/>
    <w:rsid w:val="000046E5"/>
    <w:rsid w:val="0000487B"/>
    <w:rsid w:val="00016720"/>
    <w:rsid w:val="0008283C"/>
    <w:rsid w:val="0009318E"/>
    <w:rsid w:val="000A176D"/>
    <w:rsid w:val="000F312B"/>
    <w:rsid w:val="00116654"/>
    <w:rsid w:val="00117C39"/>
    <w:rsid w:val="0015063A"/>
    <w:rsid w:val="00152685"/>
    <w:rsid w:val="00161B38"/>
    <w:rsid w:val="00185C60"/>
    <w:rsid w:val="001A522C"/>
    <w:rsid w:val="001B588E"/>
    <w:rsid w:val="001B5DA5"/>
    <w:rsid w:val="001C39F3"/>
    <w:rsid w:val="001F463C"/>
    <w:rsid w:val="001F4CEB"/>
    <w:rsid w:val="00213E37"/>
    <w:rsid w:val="00223274"/>
    <w:rsid w:val="00234454"/>
    <w:rsid w:val="00237092"/>
    <w:rsid w:val="002472C7"/>
    <w:rsid w:val="002473B4"/>
    <w:rsid w:val="00285737"/>
    <w:rsid w:val="002A4334"/>
    <w:rsid w:val="002B35D8"/>
    <w:rsid w:val="002B4918"/>
    <w:rsid w:val="002C048B"/>
    <w:rsid w:val="002C1593"/>
    <w:rsid w:val="002C6949"/>
    <w:rsid w:val="002E1063"/>
    <w:rsid w:val="002E5362"/>
    <w:rsid w:val="002E5382"/>
    <w:rsid w:val="00300727"/>
    <w:rsid w:val="00315775"/>
    <w:rsid w:val="00331CAB"/>
    <w:rsid w:val="003329C1"/>
    <w:rsid w:val="00343371"/>
    <w:rsid w:val="00345AE8"/>
    <w:rsid w:val="0037108C"/>
    <w:rsid w:val="00374CF6"/>
    <w:rsid w:val="00396A92"/>
    <w:rsid w:val="003A3A3D"/>
    <w:rsid w:val="003B0232"/>
    <w:rsid w:val="003C006C"/>
    <w:rsid w:val="003C4946"/>
    <w:rsid w:val="003D252C"/>
    <w:rsid w:val="003D521A"/>
    <w:rsid w:val="003E095B"/>
    <w:rsid w:val="0040288D"/>
    <w:rsid w:val="00476468"/>
    <w:rsid w:val="00491E41"/>
    <w:rsid w:val="004D1E51"/>
    <w:rsid w:val="004D41D8"/>
    <w:rsid w:val="004D6402"/>
    <w:rsid w:val="005019BE"/>
    <w:rsid w:val="00555894"/>
    <w:rsid w:val="005613E1"/>
    <w:rsid w:val="00561DBD"/>
    <w:rsid w:val="0057058A"/>
    <w:rsid w:val="00585334"/>
    <w:rsid w:val="005B34C7"/>
    <w:rsid w:val="005F40EC"/>
    <w:rsid w:val="005F625E"/>
    <w:rsid w:val="00602D13"/>
    <w:rsid w:val="00616ABB"/>
    <w:rsid w:val="00627BEF"/>
    <w:rsid w:val="00631FB0"/>
    <w:rsid w:val="00643545"/>
    <w:rsid w:val="006719AE"/>
    <w:rsid w:val="006A263F"/>
    <w:rsid w:val="006A7B3A"/>
    <w:rsid w:val="006B15AE"/>
    <w:rsid w:val="006D5EA7"/>
    <w:rsid w:val="006D6F9D"/>
    <w:rsid w:val="00702A0E"/>
    <w:rsid w:val="00702FED"/>
    <w:rsid w:val="00712F9D"/>
    <w:rsid w:val="00724B71"/>
    <w:rsid w:val="00777EDC"/>
    <w:rsid w:val="00794E96"/>
    <w:rsid w:val="007A7838"/>
    <w:rsid w:val="007B3636"/>
    <w:rsid w:val="007E5D1A"/>
    <w:rsid w:val="00803266"/>
    <w:rsid w:val="008275D4"/>
    <w:rsid w:val="008317DE"/>
    <w:rsid w:val="00876C94"/>
    <w:rsid w:val="008807CA"/>
    <w:rsid w:val="00894A46"/>
    <w:rsid w:val="0089585C"/>
    <w:rsid w:val="008B6352"/>
    <w:rsid w:val="008C1009"/>
    <w:rsid w:val="008C1B74"/>
    <w:rsid w:val="008C2880"/>
    <w:rsid w:val="008D2443"/>
    <w:rsid w:val="008D7CA1"/>
    <w:rsid w:val="008F0EBE"/>
    <w:rsid w:val="00900475"/>
    <w:rsid w:val="0090698C"/>
    <w:rsid w:val="00940819"/>
    <w:rsid w:val="0094157E"/>
    <w:rsid w:val="009424D4"/>
    <w:rsid w:val="00952690"/>
    <w:rsid w:val="00973421"/>
    <w:rsid w:val="009762E3"/>
    <w:rsid w:val="0098740B"/>
    <w:rsid w:val="00991656"/>
    <w:rsid w:val="009A6D82"/>
    <w:rsid w:val="009C10C8"/>
    <w:rsid w:val="009E7184"/>
    <w:rsid w:val="00A05EB8"/>
    <w:rsid w:val="00A10EFD"/>
    <w:rsid w:val="00A145CE"/>
    <w:rsid w:val="00A361EF"/>
    <w:rsid w:val="00A55A6C"/>
    <w:rsid w:val="00A60CB0"/>
    <w:rsid w:val="00A733F1"/>
    <w:rsid w:val="00A75079"/>
    <w:rsid w:val="00A76457"/>
    <w:rsid w:val="00A82237"/>
    <w:rsid w:val="00A8287B"/>
    <w:rsid w:val="00A84212"/>
    <w:rsid w:val="00A85C42"/>
    <w:rsid w:val="00A94169"/>
    <w:rsid w:val="00AA4226"/>
    <w:rsid w:val="00AB5596"/>
    <w:rsid w:val="00AD58FB"/>
    <w:rsid w:val="00AD6838"/>
    <w:rsid w:val="00AF362C"/>
    <w:rsid w:val="00B10B91"/>
    <w:rsid w:val="00B24DAB"/>
    <w:rsid w:val="00B370BF"/>
    <w:rsid w:val="00B5133E"/>
    <w:rsid w:val="00B662E9"/>
    <w:rsid w:val="00BB7763"/>
    <w:rsid w:val="00BC0784"/>
    <w:rsid w:val="00BC1D53"/>
    <w:rsid w:val="00BE47F4"/>
    <w:rsid w:val="00BF0FF2"/>
    <w:rsid w:val="00BF5E68"/>
    <w:rsid w:val="00C03C8F"/>
    <w:rsid w:val="00C15B29"/>
    <w:rsid w:val="00C23C59"/>
    <w:rsid w:val="00C2595D"/>
    <w:rsid w:val="00C30A0E"/>
    <w:rsid w:val="00C3455E"/>
    <w:rsid w:val="00C42528"/>
    <w:rsid w:val="00C64414"/>
    <w:rsid w:val="00CA01DA"/>
    <w:rsid w:val="00CB2884"/>
    <w:rsid w:val="00CB3013"/>
    <w:rsid w:val="00CD7C13"/>
    <w:rsid w:val="00D12298"/>
    <w:rsid w:val="00D15B46"/>
    <w:rsid w:val="00D2370E"/>
    <w:rsid w:val="00D7128E"/>
    <w:rsid w:val="00D872DF"/>
    <w:rsid w:val="00DA6447"/>
    <w:rsid w:val="00DB1410"/>
    <w:rsid w:val="00DB3AF0"/>
    <w:rsid w:val="00DB5C01"/>
    <w:rsid w:val="00DB70F4"/>
    <w:rsid w:val="00DC25A2"/>
    <w:rsid w:val="00DD5D2C"/>
    <w:rsid w:val="00DE50E7"/>
    <w:rsid w:val="00DF47DD"/>
    <w:rsid w:val="00E0079B"/>
    <w:rsid w:val="00E137EB"/>
    <w:rsid w:val="00E276D5"/>
    <w:rsid w:val="00E316F0"/>
    <w:rsid w:val="00E33AAC"/>
    <w:rsid w:val="00E7146F"/>
    <w:rsid w:val="00E815CD"/>
    <w:rsid w:val="00EB3C99"/>
    <w:rsid w:val="00EC0D80"/>
    <w:rsid w:val="00EC30AC"/>
    <w:rsid w:val="00ED4FB4"/>
    <w:rsid w:val="00F10D1B"/>
    <w:rsid w:val="00F10EBC"/>
    <w:rsid w:val="00F20D9C"/>
    <w:rsid w:val="00F32E28"/>
    <w:rsid w:val="00F44695"/>
    <w:rsid w:val="00F5484E"/>
    <w:rsid w:val="00F64453"/>
    <w:rsid w:val="00F67880"/>
    <w:rsid w:val="00F83047"/>
    <w:rsid w:val="00F97678"/>
    <w:rsid w:val="00FA02F0"/>
    <w:rsid w:val="00FA7578"/>
    <w:rsid w:val="00FD0620"/>
    <w:rsid w:val="00FD2FA7"/>
    <w:rsid w:val="00FE7D92"/>
    <w:rsid w:val="00FF0778"/>
    <w:rsid w:val="00FF3627"/>
    <w:rsid w:val="00FF3C7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0EC6"/>
  <w15:docId w15:val="{1E1D8E89-3B19-4C29-8170-C1DD3533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OTHER1">
    <w:name w:val="MSG_EN_FONT_STYLE_NAME_TEMPLATE_ROLE MSG_EN_FONT_STYLE_NAME_BY_ROLE_OTHER|1_"/>
    <w:basedOn w:val="a0"/>
    <w:link w:val="MSGENFONTSTYLENAMETEMPLATEROLEMSGENFONTSTYLENAMEBYROLEOTHER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pPr>
      <w:spacing w:after="260"/>
    </w:pPr>
  </w:style>
  <w:style w:type="paragraph" w:customStyle="1" w:styleId="MSGENFONTSTYLENAMETEMPLATEROLEMSGENFONTSTYLENAMEBYROLEOTHER10">
    <w:name w:val="MSG_EN_FONT_STYLE_NAME_TEMPLATE_ROLE MSG_EN_FONT_STYLE_NAME_BY_ROLE_OTHER|1"/>
    <w:basedOn w:val="a"/>
    <w:link w:val="MSGENFONTSTYLENAMETEMPLATEROLEMSGENFONTSTYLENAMEBYROLEOTHER1"/>
  </w:style>
  <w:style w:type="table" w:styleId="a3">
    <w:name w:val="Table Grid"/>
    <w:basedOn w:val="a1"/>
    <w:uiPriority w:val="39"/>
    <w:rsid w:val="0000487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602D1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5">
    <w:name w:val="Текст Знак"/>
    <w:basedOn w:val="a0"/>
    <w:link w:val="a4"/>
    <w:uiPriority w:val="99"/>
    <w:rsid w:val="00602D13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a6">
    <w:name w:val="List Paragraph"/>
    <w:basedOn w:val="a"/>
    <w:uiPriority w:val="34"/>
    <w:qFormat/>
    <w:rsid w:val="00C23C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441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6441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3792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Коренюк Анастасія Анатоліївна</dc:creator>
  <cp:lastModifiedBy>Семоненко Ольга Миколаївна</cp:lastModifiedBy>
  <cp:revision>18</cp:revision>
  <cp:lastPrinted>2026-05-06T12:48:00Z</cp:lastPrinted>
  <dcterms:created xsi:type="dcterms:W3CDTF">2026-05-05T04:57:00Z</dcterms:created>
  <dcterms:modified xsi:type="dcterms:W3CDTF">2026-05-12T08:23:00Z</dcterms:modified>
</cp:coreProperties>
</file>