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5FB" w:rsidRDefault="0052548E">
      <w:pPr>
        <w:spacing w:after="0" w:line="240" w:lineRule="auto"/>
        <w:ind w:left="4517" w:right="4200"/>
        <w:rPr>
          <w:rFonts w:ascii="Times New Roman" w:eastAsia="Times New Roman" w:hAnsi="Times New Roman" w:cs="Times New Roman"/>
          <w:sz w:val="25"/>
          <w:szCs w:val="25"/>
        </w:rPr>
      </w:pPr>
      <w:r>
        <w:rPr>
          <w:rFonts w:ascii="Times New Roman" w:eastAsia="Times New Roman" w:hAnsi="Times New Roman" w:cs="Times New Roman"/>
          <w:noProof/>
          <w:color w:val="000000"/>
          <w:sz w:val="25"/>
          <w:szCs w:val="25"/>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F025FB" w:rsidRDefault="00F025FB">
      <w:pPr>
        <w:spacing w:after="0" w:line="240" w:lineRule="auto"/>
        <w:rPr>
          <w:rFonts w:ascii="Times New Roman" w:eastAsia="Times New Roman" w:hAnsi="Times New Roman" w:cs="Times New Roman"/>
          <w:sz w:val="25"/>
          <w:szCs w:val="25"/>
        </w:rPr>
      </w:pPr>
    </w:p>
    <w:p w:rsidR="00F025FB" w:rsidRDefault="0052548E">
      <w:pPr>
        <w:spacing w:after="0" w:line="240" w:lineRule="auto"/>
        <w:ind w:right="57"/>
        <w:jc w:val="center"/>
        <w:rPr>
          <w:rFonts w:ascii="Times New Roman" w:eastAsia="Times New Roman" w:hAnsi="Times New Roman" w:cs="Times New Roman"/>
          <w:sz w:val="36"/>
          <w:szCs w:val="36"/>
        </w:rPr>
      </w:pPr>
      <w:r>
        <w:rPr>
          <w:rFonts w:ascii="Times New Roman" w:eastAsia="Times New Roman" w:hAnsi="Times New Roman" w:cs="Times New Roman"/>
          <w:color w:val="000000"/>
          <w:sz w:val="36"/>
          <w:szCs w:val="36"/>
        </w:rPr>
        <w:t>ВИЩА КВАЛІФІКАЦІЙНА КОМІСІЯ СУДДІВ УКРАЇНИ</w:t>
      </w:r>
    </w:p>
    <w:p w:rsidR="00F025FB" w:rsidRDefault="00F025FB">
      <w:pPr>
        <w:spacing w:after="0" w:line="240" w:lineRule="auto"/>
        <w:rPr>
          <w:rFonts w:ascii="Times New Roman" w:eastAsia="Times New Roman" w:hAnsi="Times New Roman" w:cs="Times New Roman"/>
          <w:sz w:val="25"/>
          <w:szCs w:val="25"/>
        </w:rPr>
      </w:pPr>
    </w:p>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05 травня 202</w:t>
      </w:r>
      <w:r w:rsidR="00FF27F0" w:rsidRPr="00FF27F0">
        <w:rPr>
          <w:rFonts w:ascii="Times New Roman" w:eastAsia="Times New Roman" w:hAnsi="Times New Roman" w:cs="Times New Roman"/>
          <w:color w:val="000000"/>
          <w:sz w:val="25"/>
          <w:szCs w:val="25"/>
        </w:rPr>
        <w:t>6</w:t>
      </w:r>
      <w:r>
        <w:rPr>
          <w:rFonts w:ascii="Times New Roman" w:eastAsia="Times New Roman" w:hAnsi="Times New Roman" w:cs="Times New Roman"/>
          <w:color w:val="000000"/>
          <w:sz w:val="25"/>
          <w:szCs w:val="25"/>
        </w:rPr>
        <w:t xml:space="preserve"> року </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t xml:space="preserve">   м. Київ</w:t>
      </w:r>
    </w:p>
    <w:p w:rsidR="00F025FB" w:rsidRDefault="00F025FB">
      <w:pPr>
        <w:spacing w:after="0" w:line="240" w:lineRule="auto"/>
        <w:rPr>
          <w:rFonts w:ascii="Times New Roman" w:eastAsia="Times New Roman" w:hAnsi="Times New Roman" w:cs="Times New Roman"/>
          <w:sz w:val="25"/>
          <w:szCs w:val="25"/>
        </w:rPr>
      </w:pPr>
    </w:p>
    <w:p w:rsidR="00F025FB" w:rsidRPr="00911E65" w:rsidRDefault="0052548E">
      <w:pPr>
        <w:spacing w:after="0" w:line="240" w:lineRule="auto"/>
        <w:jc w:val="center"/>
        <w:rPr>
          <w:rFonts w:ascii="Times New Roman" w:eastAsia="Times New Roman" w:hAnsi="Times New Roman" w:cs="Times New Roman"/>
          <w:sz w:val="25"/>
          <w:szCs w:val="25"/>
          <w:u w:val="single"/>
          <w:lang w:val="uk-UA"/>
        </w:rPr>
      </w:pPr>
      <w:r>
        <w:rPr>
          <w:rFonts w:ascii="Times New Roman" w:eastAsia="Times New Roman" w:hAnsi="Times New Roman" w:cs="Times New Roman"/>
          <w:color w:val="000000"/>
          <w:sz w:val="25"/>
          <w:szCs w:val="25"/>
        </w:rPr>
        <w:t xml:space="preserve">Р І Ш Е Н </w:t>
      </w:r>
      <w:proofErr w:type="spellStart"/>
      <w:r>
        <w:rPr>
          <w:rFonts w:ascii="Times New Roman" w:eastAsia="Times New Roman" w:hAnsi="Times New Roman" w:cs="Times New Roman"/>
          <w:color w:val="000000"/>
          <w:sz w:val="25"/>
          <w:szCs w:val="25"/>
        </w:rPr>
        <w:t>Н</w:t>
      </w:r>
      <w:proofErr w:type="spellEnd"/>
      <w:r>
        <w:rPr>
          <w:rFonts w:ascii="Times New Roman" w:eastAsia="Times New Roman" w:hAnsi="Times New Roman" w:cs="Times New Roman"/>
          <w:color w:val="000000"/>
          <w:sz w:val="25"/>
          <w:szCs w:val="25"/>
        </w:rPr>
        <w:t xml:space="preserve"> Я</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 xml:space="preserve"> №</w:t>
      </w:r>
      <w:r w:rsidR="00911E65">
        <w:rPr>
          <w:rFonts w:ascii="Times New Roman" w:eastAsia="Times New Roman" w:hAnsi="Times New Roman" w:cs="Times New Roman"/>
          <w:color w:val="000000"/>
          <w:sz w:val="25"/>
          <w:szCs w:val="25"/>
          <w:lang w:val="uk-UA"/>
        </w:rPr>
        <w:t xml:space="preserve"> </w:t>
      </w:r>
      <w:r w:rsidR="00911E65">
        <w:rPr>
          <w:rFonts w:ascii="Times New Roman" w:eastAsia="Times New Roman" w:hAnsi="Times New Roman" w:cs="Times New Roman"/>
          <w:color w:val="000000"/>
          <w:sz w:val="25"/>
          <w:szCs w:val="25"/>
          <w:u w:val="single"/>
          <w:lang w:val="uk-UA"/>
        </w:rPr>
        <w:t>173/ас-26</w:t>
      </w:r>
    </w:p>
    <w:p w:rsidR="00F025FB" w:rsidRDefault="00F025FB">
      <w:pPr>
        <w:spacing w:after="0" w:line="240" w:lineRule="auto"/>
        <w:rPr>
          <w:rFonts w:ascii="Times New Roman" w:eastAsia="Times New Roman" w:hAnsi="Times New Roman" w:cs="Times New Roman"/>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Вища кваліфікаційна комісія суддів України у складі колегії № 3:</w:t>
      </w:r>
    </w:p>
    <w:p w:rsidR="00F025FB" w:rsidRDefault="00F025FB">
      <w:pPr>
        <w:spacing w:after="0" w:line="240" w:lineRule="auto"/>
        <w:rPr>
          <w:rFonts w:ascii="Times New Roman" w:eastAsia="Times New Roman" w:hAnsi="Times New Roman" w:cs="Times New Roman"/>
          <w:sz w:val="25"/>
          <w:szCs w:val="25"/>
        </w:rPr>
      </w:pPr>
    </w:p>
    <w:p w:rsidR="00F025FB" w:rsidRDefault="0052548E">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головуючого – Сергія ЧУМАКА,</w:t>
      </w:r>
    </w:p>
    <w:p w:rsidR="00F025FB" w:rsidRDefault="00F025FB">
      <w:pPr>
        <w:shd w:val="clear" w:color="auto" w:fill="FFFFFF"/>
        <w:spacing w:after="0" w:line="240" w:lineRule="auto"/>
        <w:jc w:val="both"/>
        <w:rPr>
          <w:rFonts w:ascii="Times New Roman" w:eastAsia="Times New Roman" w:hAnsi="Times New Roman" w:cs="Times New Roman"/>
          <w:sz w:val="25"/>
          <w:szCs w:val="25"/>
        </w:rPr>
      </w:pPr>
    </w:p>
    <w:p w:rsidR="00F025FB" w:rsidRDefault="0052548E">
      <w:pPr>
        <w:shd w:val="clear" w:color="auto" w:fill="FFFFFF"/>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членів Комісії: Андрія ПАСІЧНИКА (доповідач), Романа САБОДАША,</w:t>
      </w:r>
    </w:p>
    <w:p w:rsidR="00F025FB" w:rsidRDefault="0052548E">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за участі:</w:t>
      </w:r>
    </w:p>
    <w:p w:rsidR="00F025FB" w:rsidRDefault="0052548E">
      <w:pPr>
        <w:shd w:val="clear" w:color="auto" w:fill="FFFFFF"/>
        <w:spacing w:after="0" w:line="240" w:lineRule="auto"/>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кандидата на посаду судді </w:t>
      </w:r>
      <w:r>
        <w:rPr>
          <w:rFonts w:ascii="Times New Roman" w:eastAsia="Times New Roman" w:hAnsi="Times New Roman" w:cs="Times New Roman"/>
          <w:color w:val="000000"/>
          <w:sz w:val="25"/>
          <w:szCs w:val="25"/>
          <w:highlight w:val="white"/>
        </w:rPr>
        <w:t xml:space="preserve">апеляційного загального суду </w:t>
      </w:r>
      <w:r>
        <w:rPr>
          <w:rFonts w:ascii="Times New Roman" w:eastAsia="Times New Roman" w:hAnsi="Times New Roman" w:cs="Times New Roman"/>
          <w:color w:val="000000"/>
          <w:sz w:val="25"/>
          <w:szCs w:val="25"/>
        </w:rPr>
        <w:t>Андрія БУЧИНСЬКОГО,</w:t>
      </w:r>
    </w:p>
    <w:p w:rsidR="00F025FB" w:rsidRDefault="00F025FB">
      <w:pPr>
        <w:shd w:val="clear" w:color="auto" w:fill="FFFFFF"/>
        <w:spacing w:after="0" w:line="240" w:lineRule="auto"/>
        <w:ind w:right="-15"/>
        <w:jc w:val="both"/>
        <w:rPr>
          <w:rFonts w:ascii="Times New Roman" w:eastAsia="Times New Roman" w:hAnsi="Times New Roman" w:cs="Times New Roman"/>
          <w:sz w:val="25"/>
          <w:szCs w:val="25"/>
        </w:rPr>
      </w:pPr>
    </w:p>
    <w:p w:rsidR="00F025FB" w:rsidRDefault="0052548E">
      <w:pPr>
        <w:shd w:val="clear" w:color="auto" w:fill="FFFFFF"/>
        <w:spacing w:after="0" w:line="240" w:lineRule="auto"/>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Андрія Богдановича </w:t>
      </w:r>
      <w:r>
        <w:rPr>
          <w:rFonts w:ascii="Times New Roman" w:eastAsia="Times New Roman" w:hAnsi="Times New Roman" w:cs="Times New Roman"/>
          <w:sz w:val="25"/>
          <w:szCs w:val="25"/>
        </w:rPr>
        <w:t>в</w:t>
      </w:r>
      <w:r>
        <w:rPr>
          <w:rFonts w:ascii="Times New Roman" w:eastAsia="Times New Roman" w:hAnsi="Times New Roman" w:cs="Times New Roman"/>
          <w:color w:val="000000"/>
          <w:sz w:val="25"/>
          <w:szCs w:val="25"/>
        </w:rPr>
        <w:t xml:space="preserve"> межах конкурсу, оголошеного рішенням Комісії від</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14</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вересня 2023 року № 94/зп-23 (зі змінами),</w:t>
      </w:r>
    </w:p>
    <w:p w:rsidR="00F025FB" w:rsidRDefault="00F025FB">
      <w:pPr>
        <w:shd w:val="clear" w:color="auto" w:fill="FFFFFF"/>
        <w:spacing w:after="0" w:line="240" w:lineRule="auto"/>
        <w:jc w:val="both"/>
        <w:rPr>
          <w:rFonts w:ascii="Times New Roman" w:eastAsia="Times New Roman" w:hAnsi="Times New Roman" w:cs="Times New Roman"/>
          <w:sz w:val="25"/>
          <w:szCs w:val="25"/>
        </w:rPr>
      </w:pPr>
    </w:p>
    <w:p w:rsidR="00F025FB" w:rsidRDefault="0052548E">
      <w:pPr>
        <w:shd w:val="clear" w:color="auto" w:fill="FFFFFF"/>
        <w:spacing w:after="0" w:line="240" w:lineRule="auto"/>
        <w:ind w:right="-15"/>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встановила:</w:t>
      </w:r>
    </w:p>
    <w:p w:rsidR="00BB223A" w:rsidRDefault="00BB223A">
      <w:pPr>
        <w:shd w:val="clear" w:color="auto" w:fill="FFFFFF"/>
        <w:spacing w:after="0" w:line="240" w:lineRule="auto"/>
        <w:ind w:right="-15"/>
        <w:jc w:val="center"/>
        <w:rPr>
          <w:rFonts w:ascii="Times New Roman" w:eastAsia="Times New Roman" w:hAnsi="Times New Roman" w:cs="Times New Roman"/>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 xml:space="preserve">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w:t>
      </w:r>
      <w:r>
        <w:rPr>
          <w:rFonts w:ascii="Times New Roman" w:eastAsia="Times New Roman" w:hAnsi="Times New Roman" w:cs="Times New Roman"/>
          <w:color w:val="000000"/>
          <w:sz w:val="25"/>
          <w:szCs w:val="25"/>
        </w:rPr>
        <w:lastRenderedPageBreak/>
        <w:t>та з урахуванням особливостей, передбачених статтею 79-3 Закону (пункт 1.5 Положення про конкурс).</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Вищої кваліфікаційної комісії суддів України від 14 вересня 2023 року № 94/зп-23 (зі змінами та доповненнями) оголошено конкурс на зайняття 550</w:t>
      </w:r>
      <w:r w:rsidR="009872EC">
        <w:rPr>
          <w:rFonts w:ascii="Times New Roman" w:eastAsia="Times New Roman" w:hAnsi="Times New Roman" w:cs="Times New Roman"/>
          <w:color w:val="000000"/>
          <w:sz w:val="25"/>
          <w:szCs w:val="25"/>
          <w:lang w:val="ru-RU"/>
        </w:rPr>
        <w:t> </w:t>
      </w:r>
      <w:r>
        <w:rPr>
          <w:rFonts w:ascii="Times New Roman" w:eastAsia="Times New Roman" w:hAnsi="Times New Roman" w:cs="Times New Roman"/>
          <w:color w:val="000000"/>
          <w:sz w:val="25"/>
          <w:szCs w:val="25"/>
        </w:rPr>
        <w:t>вакантних посад суддів в апеляційних судах, зокрема в апеляційних загальних судах. </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proofErr w:type="spellStart"/>
      <w:r>
        <w:rPr>
          <w:rFonts w:ascii="Times New Roman" w:eastAsia="Times New Roman" w:hAnsi="Times New Roman" w:cs="Times New Roman"/>
          <w:color w:val="000000"/>
          <w:sz w:val="25"/>
          <w:szCs w:val="25"/>
        </w:rPr>
        <w:t>Бучинський</w:t>
      </w:r>
      <w:proofErr w:type="spellEnd"/>
      <w:r>
        <w:rPr>
          <w:rFonts w:ascii="Times New Roman" w:eastAsia="Times New Roman" w:hAnsi="Times New Roman" w:cs="Times New Roman"/>
          <w:color w:val="000000"/>
          <w:sz w:val="25"/>
          <w:szCs w:val="25"/>
        </w:rPr>
        <w:t xml:space="preserve"> А.Б.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F025FB" w:rsidRDefault="0052548E">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Рішенням Комісії від 17.04.2025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допущено </w:t>
      </w:r>
      <w:r>
        <w:rPr>
          <w:rFonts w:ascii="Times New Roman" w:eastAsia="Times New Roman" w:hAnsi="Times New Roman" w:cs="Times New Roman"/>
          <w:color w:val="000000"/>
          <w:sz w:val="25"/>
          <w:szCs w:val="25"/>
        </w:rPr>
        <w:lastRenderedPageBreak/>
        <w:t xml:space="preserve">706 кандидатів на посади суддів апеляційних загальних судів, які успішно склали кваліфікаційний іспит, зокрема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w:t>
      </w:r>
    </w:p>
    <w:p w:rsidR="00BB223A" w:rsidRDefault="00BB223A" w:rsidP="00BB223A">
      <w:pPr>
        <w:shd w:val="clear" w:color="auto" w:fill="FFFFFF"/>
        <w:spacing w:after="0" w:line="240" w:lineRule="auto"/>
        <w:ind w:left="709"/>
        <w:jc w:val="both"/>
        <w:rPr>
          <w:rFonts w:ascii="Times New Roman" w:eastAsia="Times New Roman" w:hAnsi="Times New Roman" w:cs="Times New Roman"/>
          <w:color w:val="000000"/>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ІІ. Основні відомості про кандидата.</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5"/>
          <w:szCs w:val="25"/>
        </w:rPr>
        <w:t>Бучинський</w:t>
      </w:r>
      <w:proofErr w:type="spellEnd"/>
      <w:r>
        <w:rPr>
          <w:rFonts w:ascii="Times New Roman" w:eastAsia="Times New Roman" w:hAnsi="Times New Roman" w:cs="Times New Roman"/>
          <w:color w:val="000000"/>
          <w:sz w:val="25"/>
          <w:szCs w:val="25"/>
        </w:rPr>
        <w:t xml:space="preserve"> А.Б., дата народження – </w:t>
      </w:r>
      <w:r w:rsidR="001E094D" w:rsidRPr="001E094D">
        <w:rPr>
          <w:rFonts w:ascii="Times New Roman" w:eastAsia="Times New Roman" w:hAnsi="Times New Roman" w:cs="Times New Roman"/>
          <w:color w:val="000000"/>
          <w:sz w:val="25"/>
          <w:szCs w:val="25"/>
          <w:lang w:val="ru-RU"/>
        </w:rPr>
        <w:t>_______________</w:t>
      </w:r>
      <w:r>
        <w:rPr>
          <w:rFonts w:ascii="Times New Roman" w:eastAsia="Times New Roman" w:hAnsi="Times New Roman" w:cs="Times New Roman"/>
          <w:color w:val="000000"/>
          <w:sz w:val="25"/>
          <w:szCs w:val="25"/>
        </w:rPr>
        <w:t xml:space="preserve"> року, громадянин України.</w:t>
      </w:r>
    </w:p>
    <w:p w:rsidR="00F025FB" w:rsidRDefault="0052548E">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У 2005 році закінчив Львівський національний університет ім. Івана Франка і отримав повну вищу освіту за спеціальністю «Право» та здобув кваліфікацію спеціаліста.</w:t>
      </w:r>
    </w:p>
    <w:p w:rsidR="00F025FB" w:rsidRDefault="0052548E">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highlight w:val="white"/>
        </w:rPr>
      </w:pPr>
      <w:r>
        <w:rPr>
          <w:rFonts w:ascii="Times New Roman" w:eastAsia="Times New Roman" w:hAnsi="Times New Roman" w:cs="Times New Roman"/>
          <w:color w:val="000000"/>
          <w:sz w:val="25"/>
          <w:szCs w:val="25"/>
        </w:rPr>
        <w:t>У 2011 році закінчив Львівський державний університет внутрішніх справ і отримав повну вищу освіту за спеціальністю «Правознавство» та здобув кваліфікацію магістра. Має стаж роботи на посаді судді понад п’ять років</w:t>
      </w:r>
      <w:r>
        <w:rPr>
          <w:rFonts w:ascii="Times New Roman" w:eastAsia="Times New Roman" w:hAnsi="Times New Roman" w:cs="Times New Roman"/>
          <w:color w:val="000000"/>
          <w:sz w:val="25"/>
          <w:szCs w:val="25"/>
          <w:highlight w:val="white"/>
        </w:rPr>
        <w:t>.</w:t>
      </w:r>
    </w:p>
    <w:p w:rsidR="00F025FB" w:rsidRDefault="00F025FB">
      <w:pPr>
        <w:spacing w:after="0" w:line="240" w:lineRule="auto"/>
        <w:rPr>
          <w:rFonts w:ascii="Times New Roman" w:eastAsia="Times New Roman" w:hAnsi="Times New Roman" w:cs="Times New Roman"/>
          <w:sz w:val="25"/>
          <w:szCs w:val="25"/>
        </w:rPr>
      </w:pPr>
    </w:p>
    <w:p w:rsidR="00F025FB" w:rsidRDefault="0052548E">
      <w:pPr>
        <w:spacing w:after="0" w:line="240" w:lineRule="auto"/>
        <w:jc w:val="both"/>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ІІІ. Складання кваліфікаційного іспиту (встановлення відповідності кандидата критерію професійної компетентності).</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Pr>
          <w:rFonts w:ascii="Times New Roman" w:eastAsia="Times New Roman" w:hAnsi="Times New Roman" w:cs="Times New Roman"/>
          <w:color w:val="000000"/>
          <w:sz w:val="25"/>
          <w:szCs w:val="25"/>
        </w:rPr>
        <w:t>інстанційності</w:t>
      </w:r>
      <w:proofErr w:type="spellEnd"/>
      <w:r>
        <w:rPr>
          <w:rFonts w:ascii="Times New Roman" w:eastAsia="Times New Roman" w:hAnsi="Times New Roman" w:cs="Times New Roman"/>
          <w:color w:val="000000"/>
          <w:sz w:val="25"/>
          <w:szCs w:val="25"/>
        </w:rPr>
        <w:t xml:space="preserve">. Практичне завдання проводиться щодо спеціалізації відповідного суду з урахуванням його </w:t>
      </w:r>
      <w:proofErr w:type="spellStart"/>
      <w:r>
        <w:rPr>
          <w:rFonts w:ascii="Times New Roman" w:eastAsia="Times New Roman" w:hAnsi="Times New Roman" w:cs="Times New Roman"/>
          <w:color w:val="000000"/>
          <w:sz w:val="25"/>
          <w:szCs w:val="25"/>
        </w:rPr>
        <w:t>інстанційності</w:t>
      </w:r>
      <w:proofErr w:type="spellEnd"/>
      <w:r>
        <w:rPr>
          <w:rFonts w:ascii="Times New Roman" w:eastAsia="Times New Roman" w:hAnsi="Times New Roman" w:cs="Times New Roman"/>
          <w:color w:val="000000"/>
          <w:sz w:val="25"/>
          <w:szCs w:val="25"/>
        </w:rPr>
        <w:t>.</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Комісії від 20 січня 2025 року № 16/зп-25 затверджено кодовані та декодовані результати тестування когнітивних здібностей.</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Комісії від 17 квітня 2025 року № 89/зп-25 затверджено декодовані результати практичного завдання, а також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w:t>
      </w:r>
      <w:r w:rsidR="00911E65">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F025FB" w:rsidRDefault="0052548E">
      <w:pPr>
        <w:numPr>
          <w:ilvl w:val="0"/>
          <w:numId w:val="4"/>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З огляду на зазначене </w:t>
      </w:r>
      <w:proofErr w:type="spellStart"/>
      <w:r>
        <w:rPr>
          <w:rFonts w:ascii="Times New Roman" w:eastAsia="Times New Roman" w:hAnsi="Times New Roman" w:cs="Times New Roman"/>
          <w:color w:val="000000"/>
          <w:sz w:val="25"/>
          <w:szCs w:val="25"/>
        </w:rPr>
        <w:t>Бучинський</w:t>
      </w:r>
      <w:proofErr w:type="spellEnd"/>
      <w:r>
        <w:rPr>
          <w:rFonts w:ascii="Times New Roman" w:eastAsia="Times New Roman" w:hAnsi="Times New Roman" w:cs="Times New Roman"/>
          <w:color w:val="000000"/>
          <w:sz w:val="25"/>
          <w:szCs w:val="25"/>
        </w:rPr>
        <w:t xml:space="preserve"> А.Б. отримав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F025FB">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Бал за критерій</w:t>
            </w:r>
          </w:p>
        </w:tc>
      </w:tr>
      <w:tr w:rsidR="00F025FB">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46,8</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367,3</w:t>
            </w:r>
          </w:p>
        </w:tc>
      </w:tr>
      <w:tr w:rsidR="00F025F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149</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131,5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підпункту 6.3.3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тестування.</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Отже, загальна кількість балів за кваліфікаційний іспит – 367,3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із 400 можливих, що свідчить про підтвердження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здатності здійснювати правосуддя в апеляційному загальному суді за критерієм професійної компетентності. </w:t>
      </w:r>
    </w:p>
    <w:p w:rsidR="00F025FB" w:rsidRDefault="00F025FB">
      <w:pPr>
        <w:shd w:val="clear" w:color="auto" w:fill="FFFFFF"/>
        <w:spacing w:after="0" w:line="240" w:lineRule="auto"/>
        <w:ind w:firstLine="709"/>
        <w:jc w:val="both"/>
        <w:rPr>
          <w:rFonts w:ascii="Times New Roman" w:eastAsia="Times New Roman" w:hAnsi="Times New Roman" w:cs="Times New Roman"/>
          <w:color w:val="000000"/>
          <w:sz w:val="25"/>
          <w:szCs w:val="25"/>
        </w:rPr>
      </w:pPr>
    </w:p>
    <w:p w:rsidR="00F025FB" w:rsidRDefault="0052548E" w:rsidP="00BB223A">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ІV. Проведення спеціальної перевірки. </w:t>
      </w:r>
    </w:p>
    <w:p w:rsidR="00F025FB" w:rsidRDefault="00F025FB">
      <w:pPr>
        <w:spacing w:after="0" w:line="240" w:lineRule="auto"/>
        <w:ind w:firstLine="709"/>
        <w:rPr>
          <w:rFonts w:ascii="Times New Roman" w:eastAsia="Times New Roman" w:hAnsi="Times New Roman" w:cs="Times New Roman"/>
          <w:sz w:val="25"/>
          <w:szCs w:val="25"/>
        </w:rPr>
      </w:pP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bookmarkStart w:id="0" w:name="_heading=h.3mn0ijfq58ms" w:colFirst="0" w:colLast="0"/>
      <w:bookmarkEnd w:id="0"/>
      <w:r>
        <w:rPr>
          <w:rFonts w:ascii="Times New Roman" w:eastAsia="Times New Roman" w:hAnsi="Times New Roman" w:cs="Times New Roman"/>
          <w:color w:val="000000"/>
          <w:sz w:val="25"/>
          <w:szCs w:val="25"/>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Запити про надання відомостей стосовно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w:t>
      </w:r>
      <w:r w:rsidR="009872EC" w:rsidRPr="009872EC">
        <w:rPr>
          <w:rFonts w:ascii="Times New Roman" w:eastAsia="Times New Roman" w:hAnsi="Times New Roman" w:cs="Times New Roman"/>
          <w:color w:val="000000"/>
          <w:sz w:val="25"/>
          <w:szCs w:val="25"/>
        </w:rPr>
        <w:t xml:space="preserve"> (</w:t>
      </w:r>
      <w:proofErr w:type="spellStart"/>
      <w:r w:rsidR="009872EC" w:rsidRPr="009872EC">
        <w:rPr>
          <w:rFonts w:ascii="Times New Roman" w:eastAsia="Times New Roman" w:hAnsi="Times New Roman" w:cs="Times New Roman"/>
          <w:color w:val="000000"/>
          <w:sz w:val="25"/>
          <w:szCs w:val="25"/>
        </w:rPr>
        <w:t>дал</w:t>
      </w:r>
      <w:proofErr w:type="spellEnd"/>
      <w:r w:rsidR="009872EC">
        <w:rPr>
          <w:rFonts w:ascii="Times New Roman" w:eastAsia="Times New Roman" w:hAnsi="Times New Roman" w:cs="Times New Roman"/>
          <w:color w:val="000000"/>
          <w:sz w:val="25"/>
          <w:szCs w:val="25"/>
          <w:lang w:val="uk-UA"/>
        </w:rPr>
        <w:t>і – НАЗК)</w:t>
      </w:r>
      <w:r>
        <w:rPr>
          <w:rFonts w:ascii="Times New Roman" w:eastAsia="Times New Roman" w:hAnsi="Times New Roman" w:cs="Times New Roman"/>
          <w:color w:val="000000"/>
          <w:sz w:val="25"/>
          <w:szCs w:val="25"/>
        </w:rPr>
        <w:t xml:space="preserve">,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w:t>
      </w:r>
      <w:r>
        <w:rPr>
          <w:rFonts w:ascii="Times New Roman" w:eastAsia="Times New Roman" w:hAnsi="Times New Roman" w:cs="Times New Roman"/>
          <w:color w:val="000000"/>
          <w:sz w:val="25"/>
          <w:szCs w:val="25"/>
        </w:rPr>
        <w:lastRenderedPageBreak/>
        <w:t>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Комісією установлено, що під час проведення спеціальної перевірки не отримано інформації, що може свідчити про невідповідність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F025FB" w:rsidRDefault="00F025FB">
      <w:pPr>
        <w:shd w:val="clear" w:color="auto" w:fill="FFFFFF"/>
        <w:spacing w:after="0" w:line="240" w:lineRule="auto"/>
        <w:ind w:firstLine="709"/>
        <w:jc w:val="both"/>
        <w:rPr>
          <w:rFonts w:ascii="Times New Roman" w:eastAsia="Times New Roman" w:hAnsi="Times New Roman" w:cs="Times New Roman"/>
          <w:color w:val="000000"/>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ab/>
      </w:r>
    </w:p>
    <w:p w:rsidR="00F025FB" w:rsidRDefault="0052548E">
      <w:pPr>
        <w:spacing w:after="0" w:line="240" w:lineRule="auto"/>
        <w:jc w:val="both"/>
        <w:rPr>
          <w:rFonts w:ascii="Times New Roman" w:eastAsia="Times New Roman" w:hAnsi="Times New Roman" w:cs="Times New Roman"/>
          <w:color w:val="000000"/>
          <w:sz w:val="25"/>
          <w:szCs w:val="25"/>
          <w:u w:val="single"/>
        </w:rPr>
      </w:pPr>
      <w:r>
        <w:rPr>
          <w:rFonts w:ascii="Times New Roman" w:eastAsia="Times New Roman" w:hAnsi="Times New Roman" w:cs="Times New Roman"/>
          <w:color w:val="000000"/>
          <w:sz w:val="25"/>
          <w:szCs w:val="25"/>
          <w:u w:val="single"/>
        </w:rPr>
        <w:t>V-І. Стислий опис проходження другого етапу кваліфікаційного оцінювання. </w:t>
      </w:r>
    </w:p>
    <w:p w:rsidR="00BB223A" w:rsidRDefault="00BB223A">
      <w:pPr>
        <w:spacing w:after="0" w:line="240" w:lineRule="auto"/>
        <w:jc w:val="both"/>
        <w:rPr>
          <w:rFonts w:ascii="Times New Roman" w:eastAsia="Times New Roman" w:hAnsi="Times New Roman" w:cs="Times New Roman"/>
          <w:sz w:val="25"/>
          <w:szCs w:val="25"/>
        </w:rPr>
      </w:pP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До Комісії надійшла заява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про намір претендувати на посаду судді Львівського апеляційного суду.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протоколу повторного розподілу між членами Комісії від 01 серпня 2025 року доповідачем у справі кандидата на посаду судді апеляційного загального суду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визначено члена Комісії Пасічника А.В.</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Pr>
          <w:rFonts w:ascii="Times New Roman" w:eastAsia="Times New Roman" w:hAnsi="Times New Roman" w:cs="Times New Roman"/>
          <w:color w:val="000000"/>
          <w:sz w:val="25"/>
          <w:szCs w:val="25"/>
        </w:rPr>
        <w:t>звернуто</w:t>
      </w:r>
      <w:proofErr w:type="spellEnd"/>
      <w:r>
        <w:rPr>
          <w:rFonts w:ascii="Times New Roman" w:eastAsia="Times New Roman" w:hAnsi="Times New Roman" w:cs="Times New Roman"/>
          <w:color w:val="000000"/>
          <w:sz w:val="25"/>
          <w:szCs w:val="25"/>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ефективна взаємодія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стійкість мотивації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емоційна стійкість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bookmarkStart w:id="1" w:name="_heading=h.qd9rcb2s0km" w:colFirst="0" w:colLast="0"/>
      <w:bookmarkEnd w:id="1"/>
      <w:r>
        <w:rPr>
          <w:rFonts w:ascii="Times New Roman" w:eastAsia="Times New Roman" w:hAnsi="Times New Roman" w:cs="Times New Roman"/>
          <w:color w:val="000000"/>
          <w:sz w:val="25"/>
          <w:szCs w:val="25"/>
        </w:rPr>
        <w:t xml:space="preserve">До Комісії 14 серпня 2025 року надійшли пояснення та докази від кандидата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 xml:space="preserve">До Комісії 25 березня 2026 року надійшло рішення Громадської ради доброчесності (далі – ГРД) про надання Комісії інформації щодо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01</w:t>
      </w:r>
      <w:r w:rsidR="009872EC">
        <w:rPr>
          <w:rFonts w:ascii="Times New Roman" w:eastAsia="Times New Roman" w:hAnsi="Times New Roman" w:cs="Times New Roman"/>
          <w:color w:val="000000"/>
          <w:sz w:val="25"/>
          <w:szCs w:val="25"/>
          <w:lang w:val="uk-UA"/>
        </w:rPr>
        <w:t> </w:t>
      </w:r>
      <w:r>
        <w:rPr>
          <w:rFonts w:ascii="Times New Roman" w:eastAsia="Times New Roman" w:hAnsi="Times New Roman" w:cs="Times New Roman"/>
          <w:color w:val="000000"/>
          <w:sz w:val="25"/>
          <w:szCs w:val="25"/>
        </w:rPr>
        <w:t>травня 2026 року до Комісії надійшли пояснення кандидата на викладену в рішенні ГРД інформацію. У вказаних документах зазначено таке.</w:t>
      </w:r>
    </w:p>
    <w:p w:rsidR="00F025FB" w:rsidRDefault="0052548E">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Кандидат у декларації особи, уповноваженої на виконання функцій держави або місцевого самоврядування (далі – майнова декларація)</w:t>
      </w:r>
      <w:r w:rsidR="009872EC">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за 2016 рік задекларував сукупний дохід, отриманий ним та його на </w:t>
      </w:r>
      <w:r w:rsidR="009872EC">
        <w:rPr>
          <w:rFonts w:ascii="Times New Roman" w:eastAsia="Times New Roman" w:hAnsi="Times New Roman" w:cs="Times New Roman"/>
          <w:color w:val="000000"/>
          <w:sz w:val="25"/>
          <w:szCs w:val="25"/>
          <w:lang w:val="uk-UA"/>
        </w:rPr>
        <w:t>сьогодні</w:t>
      </w:r>
      <w:r>
        <w:rPr>
          <w:rFonts w:ascii="Times New Roman" w:eastAsia="Times New Roman" w:hAnsi="Times New Roman" w:cs="Times New Roman"/>
          <w:color w:val="000000"/>
          <w:sz w:val="25"/>
          <w:szCs w:val="25"/>
        </w:rPr>
        <w:t xml:space="preserve"> колишньою дружиною, у розмірі 167 634 грн (без урахування сум сплачених податків).</w:t>
      </w:r>
    </w:p>
    <w:p w:rsidR="00F025FB" w:rsidRDefault="009872EC">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lang w:val="uk-UA"/>
        </w:rPr>
        <w:t>Своєю чергою</w:t>
      </w:r>
      <w:r w:rsidR="0052548E">
        <w:rPr>
          <w:rFonts w:ascii="Times New Roman" w:eastAsia="Times New Roman" w:hAnsi="Times New Roman" w:cs="Times New Roman"/>
          <w:color w:val="000000"/>
          <w:sz w:val="25"/>
          <w:szCs w:val="25"/>
        </w:rPr>
        <w:t xml:space="preserve"> відповідно до майнової декларації кандидата за 2015 рік його заощадження станом на кінець звітного періоду становили 10 666 грн та 15 000 </w:t>
      </w:r>
      <w:proofErr w:type="spellStart"/>
      <w:r w:rsidR="0052548E">
        <w:rPr>
          <w:rFonts w:ascii="Times New Roman" w:eastAsia="Times New Roman" w:hAnsi="Times New Roman" w:cs="Times New Roman"/>
          <w:color w:val="000000"/>
          <w:sz w:val="25"/>
          <w:szCs w:val="25"/>
        </w:rPr>
        <w:t>дол</w:t>
      </w:r>
      <w:proofErr w:type="spellEnd"/>
      <w:r>
        <w:rPr>
          <w:rFonts w:ascii="Times New Roman" w:eastAsia="Times New Roman" w:hAnsi="Times New Roman" w:cs="Times New Roman"/>
          <w:color w:val="000000"/>
          <w:sz w:val="25"/>
          <w:szCs w:val="25"/>
          <w:lang w:val="uk-UA"/>
        </w:rPr>
        <w:t xml:space="preserve">. </w:t>
      </w:r>
      <w:r w:rsidR="0052548E">
        <w:rPr>
          <w:rFonts w:ascii="Times New Roman" w:eastAsia="Times New Roman" w:hAnsi="Times New Roman" w:cs="Times New Roman"/>
          <w:color w:val="000000"/>
          <w:sz w:val="25"/>
          <w:szCs w:val="25"/>
        </w:rPr>
        <w:t>США.</w:t>
      </w:r>
    </w:p>
    <w:p w:rsidR="00F025FB" w:rsidRDefault="0052548E">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майнової декларації </w:t>
      </w:r>
      <w:r w:rsidR="009872EC" w:rsidRPr="009872EC">
        <w:rPr>
          <w:rFonts w:ascii="Times New Roman" w:eastAsia="Times New Roman" w:hAnsi="Times New Roman" w:cs="Times New Roman"/>
          <w:color w:val="000000"/>
          <w:sz w:val="25"/>
          <w:szCs w:val="25"/>
          <w:lang w:val="uk-UA"/>
        </w:rPr>
        <w:t>к</w:t>
      </w:r>
      <w:r w:rsidRPr="009872EC">
        <w:rPr>
          <w:rFonts w:ascii="Times New Roman" w:eastAsia="Times New Roman" w:hAnsi="Times New Roman" w:cs="Times New Roman"/>
          <w:color w:val="000000"/>
          <w:sz w:val="25"/>
          <w:szCs w:val="25"/>
          <w:lang w:val="uk-UA"/>
        </w:rPr>
        <w:t>андидата</w:t>
      </w:r>
      <w:r>
        <w:rPr>
          <w:rFonts w:ascii="Times New Roman" w:eastAsia="Times New Roman" w:hAnsi="Times New Roman" w:cs="Times New Roman"/>
          <w:color w:val="000000"/>
          <w:sz w:val="25"/>
          <w:szCs w:val="25"/>
        </w:rPr>
        <w:t xml:space="preserve"> за 2016 рік його заощадження станом на кінець звітного періоду становили вже 241 грн та 17 000 </w:t>
      </w:r>
      <w:proofErr w:type="spellStart"/>
      <w:r>
        <w:rPr>
          <w:rFonts w:ascii="Times New Roman" w:eastAsia="Times New Roman" w:hAnsi="Times New Roman" w:cs="Times New Roman"/>
          <w:color w:val="000000"/>
          <w:sz w:val="25"/>
          <w:szCs w:val="25"/>
        </w:rPr>
        <w:t>дол</w:t>
      </w:r>
      <w:proofErr w:type="spellEnd"/>
      <w:r w:rsidR="009872EC">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США.</w:t>
      </w:r>
    </w:p>
    <w:p w:rsidR="00F025FB" w:rsidRDefault="0052548E">
      <w:pPr>
        <w:numPr>
          <w:ilvl w:val="0"/>
          <w:numId w:val="4"/>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у 2016 році для здійснення видатків на проживання та закриття базових потреб кандидата та членів його сім’ї з урахуванням задекларованих доходів, розміру збільшених заощаджень на кінець звітного періоду та видатків на погашення фінансових зобов’язань залишилось 103 758 грн (без урахування сум сплачених податків).</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У своїх письмових поясненнях кандидат зазначив, що ним задекларовано реальний майновий стан його сім’ї, який мав місце на 2016 рік.</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ГРД також зазначає, що кандидат у своїй майновій декларації за 2019 рік вперше задекларував житловий будинок загальною площею 398,2 </w:t>
      </w:r>
      <w:proofErr w:type="spellStart"/>
      <w:r>
        <w:rPr>
          <w:rFonts w:ascii="Times New Roman" w:eastAsia="Times New Roman" w:hAnsi="Times New Roman" w:cs="Times New Roman"/>
          <w:color w:val="000000"/>
          <w:sz w:val="25"/>
          <w:szCs w:val="25"/>
        </w:rPr>
        <w:t>кв</w:t>
      </w:r>
      <w:proofErr w:type="spellEnd"/>
      <w:r>
        <w:rPr>
          <w:rFonts w:ascii="Times New Roman" w:eastAsia="Times New Roman" w:hAnsi="Times New Roman" w:cs="Times New Roman"/>
          <w:color w:val="000000"/>
          <w:sz w:val="25"/>
          <w:szCs w:val="25"/>
        </w:rPr>
        <w:t xml:space="preserve">. м, розташований у місті </w:t>
      </w:r>
      <w:proofErr w:type="spellStart"/>
      <w:r>
        <w:rPr>
          <w:rFonts w:ascii="Times New Roman" w:eastAsia="Times New Roman" w:hAnsi="Times New Roman" w:cs="Times New Roman"/>
          <w:color w:val="000000"/>
          <w:sz w:val="25"/>
          <w:szCs w:val="25"/>
        </w:rPr>
        <w:t>Льв</w:t>
      </w:r>
      <w:proofErr w:type="spellEnd"/>
      <w:r w:rsidR="009872EC">
        <w:rPr>
          <w:rFonts w:ascii="Times New Roman" w:eastAsia="Times New Roman" w:hAnsi="Times New Roman" w:cs="Times New Roman"/>
          <w:color w:val="000000"/>
          <w:sz w:val="25"/>
          <w:szCs w:val="25"/>
          <w:lang w:val="uk-UA"/>
        </w:rPr>
        <w:t>о</w:t>
      </w:r>
      <w:r>
        <w:rPr>
          <w:rFonts w:ascii="Times New Roman" w:eastAsia="Times New Roman" w:hAnsi="Times New Roman" w:cs="Times New Roman"/>
          <w:color w:val="000000"/>
          <w:sz w:val="25"/>
          <w:szCs w:val="25"/>
        </w:rPr>
        <w:t>в</w:t>
      </w:r>
      <w:r w:rsidR="009872EC">
        <w:rPr>
          <w:rFonts w:ascii="Times New Roman" w:eastAsia="Times New Roman" w:hAnsi="Times New Roman" w:cs="Times New Roman"/>
          <w:color w:val="000000"/>
          <w:sz w:val="25"/>
          <w:szCs w:val="25"/>
          <w:lang w:val="uk-UA"/>
        </w:rPr>
        <w:t>і</w:t>
      </w:r>
      <w:r>
        <w:rPr>
          <w:rFonts w:ascii="Times New Roman" w:eastAsia="Times New Roman" w:hAnsi="Times New Roman" w:cs="Times New Roman"/>
          <w:color w:val="000000"/>
          <w:sz w:val="25"/>
          <w:szCs w:val="25"/>
        </w:rPr>
        <w:t xml:space="preserve">. Підставою декларування є інше право користування (зареєстроване місце проживання). </w:t>
      </w:r>
      <w:r w:rsidR="009872EC" w:rsidRPr="009872EC">
        <w:rPr>
          <w:rFonts w:ascii="Times New Roman" w:eastAsia="Times New Roman" w:hAnsi="Times New Roman" w:cs="Times New Roman"/>
          <w:color w:val="000000"/>
          <w:sz w:val="25"/>
          <w:szCs w:val="25"/>
          <w:lang w:val="uk-UA"/>
        </w:rPr>
        <w:t>К</w:t>
      </w:r>
      <w:r w:rsidRPr="009872EC">
        <w:rPr>
          <w:rFonts w:ascii="Times New Roman" w:eastAsia="Times New Roman" w:hAnsi="Times New Roman" w:cs="Times New Roman"/>
          <w:color w:val="000000"/>
          <w:sz w:val="25"/>
          <w:szCs w:val="25"/>
          <w:lang w:val="uk-UA"/>
        </w:rPr>
        <w:t>андидат</w:t>
      </w:r>
      <w:r>
        <w:rPr>
          <w:rFonts w:ascii="Times New Roman" w:eastAsia="Times New Roman" w:hAnsi="Times New Roman" w:cs="Times New Roman"/>
          <w:color w:val="000000"/>
          <w:sz w:val="25"/>
          <w:szCs w:val="25"/>
        </w:rPr>
        <w:t xml:space="preserve"> у своїх майнових деклараціях за 2019 та 2020 роки вказує датою набуття права 24 грудня 2015 року, а в деклараціях за 2021–2024 роки зазначає 26 травня 1997 року, що, на думку ГРД, виглядає непослідовним.</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надав пояснення, що вказаний будинок є лише його зареєстрованим місцем проживання. </w:t>
      </w:r>
      <w:r w:rsidR="009872EC">
        <w:rPr>
          <w:rFonts w:ascii="Times New Roman" w:eastAsia="Times New Roman" w:hAnsi="Times New Roman" w:cs="Times New Roman"/>
          <w:color w:val="000000"/>
          <w:sz w:val="25"/>
          <w:szCs w:val="25"/>
          <w:lang w:val="uk-UA"/>
        </w:rPr>
        <w:t>В</w:t>
      </w:r>
      <w:proofErr w:type="spellStart"/>
      <w:r>
        <w:rPr>
          <w:rFonts w:ascii="Times New Roman" w:eastAsia="Times New Roman" w:hAnsi="Times New Roman" w:cs="Times New Roman"/>
          <w:color w:val="000000"/>
          <w:sz w:val="25"/>
          <w:szCs w:val="25"/>
        </w:rPr>
        <w:t>ін</w:t>
      </w:r>
      <w:proofErr w:type="spellEnd"/>
      <w:r>
        <w:rPr>
          <w:rFonts w:ascii="Times New Roman" w:eastAsia="Times New Roman" w:hAnsi="Times New Roman" w:cs="Times New Roman"/>
          <w:color w:val="000000"/>
          <w:sz w:val="25"/>
          <w:szCs w:val="25"/>
        </w:rPr>
        <w:t xml:space="preserve"> там не проживав, будинок не перебував в його володінні або користуванні.</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Кандидат також зазначив, що 26 травня 1997 року є датою набуття права власності на частку вказаної нерухомості, а 24 грудня 2015 року є датою реєстрації його місця проживання в цьому будинку.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звернув увагу на те, що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пункті 56 роз’яснень </w:t>
      </w:r>
      <w:r w:rsidR="009872EC">
        <w:rPr>
          <w:rFonts w:ascii="Times New Roman" w:eastAsia="Times New Roman" w:hAnsi="Times New Roman" w:cs="Times New Roman"/>
          <w:color w:val="000000"/>
          <w:sz w:val="25"/>
          <w:szCs w:val="25"/>
          <w:lang w:val="uk-UA"/>
        </w:rPr>
        <w:t>НАЗК</w:t>
      </w:r>
      <w:r>
        <w:rPr>
          <w:rFonts w:ascii="Times New Roman" w:eastAsia="Times New Roman" w:hAnsi="Times New Roman" w:cs="Times New Roman"/>
          <w:color w:val="000000"/>
          <w:sz w:val="25"/>
          <w:szCs w:val="25"/>
        </w:rPr>
        <w:t xml:space="preserve"> від 13 лютого 2020 року № 1 зазначено, що відомості про об’єкти нерухомості, які є зареєстрованим місцем проживання суб’єкта декларування або членів його сім’ї, необхідно зазначати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розділі 3 «Об’єкти нерухомості» декларації, навіть якщо особа фактично там не проживає.</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Тому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декларації за 2019 рік вказаний будинок кандидатом було задекларовано.</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Однак відповідно до чинної редакції роз’яснень </w:t>
      </w:r>
      <w:r w:rsidR="009872EC">
        <w:rPr>
          <w:rFonts w:ascii="Times New Roman" w:eastAsia="Times New Roman" w:hAnsi="Times New Roman" w:cs="Times New Roman"/>
          <w:color w:val="000000"/>
          <w:sz w:val="25"/>
          <w:szCs w:val="25"/>
          <w:lang w:val="uk-UA"/>
        </w:rPr>
        <w:t>НАЗК</w:t>
      </w:r>
      <w:r>
        <w:rPr>
          <w:rFonts w:ascii="Times New Roman" w:eastAsia="Times New Roman" w:hAnsi="Times New Roman" w:cs="Times New Roman"/>
          <w:color w:val="000000"/>
          <w:sz w:val="25"/>
          <w:szCs w:val="25"/>
        </w:rPr>
        <w:t xml:space="preserve"> від 13 листопада 2023</w:t>
      </w:r>
      <w:r w:rsidR="009872EC">
        <w:rPr>
          <w:rFonts w:ascii="Times New Roman" w:eastAsia="Times New Roman" w:hAnsi="Times New Roman" w:cs="Times New Roman"/>
          <w:color w:val="000000"/>
          <w:sz w:val="25"/>
          <w:szCs w:val="25"/>
          <w:lang w:val="uk-UA"/>
        </w:rPr>
        <w:t> </w:t>
      </w:r>
      <w:r>
        <w:rPr>
          <w:rFonts w:ascii="Times New Roman" w:eastAsia="Times New Roman" w:hAnsi="Times New Roman" w:cs="Times New Roman"/>
          <w:color w:val="000000"/>
          <w:sz w:val="25"/>
          <w:szCs w:val="25"/>
        </w:rPr>
        <w:t xml:space="preserve">року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розділі 3 «Об’єкти нерухомості» декларації НАЗК роз’яснило, що у випадку реєстрації в об’єкті нерухомості особи, яка не є його власником, співвласником або не проживає там, декларувати його не потрібно (крім випадку, коли місце проживання зареєстроване у службовому житлі чи житлі, що підлягає приватизації)».</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ГРД зазначає, що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користуванні кандидата та його колишньої дружини на безоплатній основі протягом значного періоду перебували легкові автомобілі, власниками яких були їх близькі родичі.</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bookmarkStart w:id="2" w:name="_heading=h.em4xphkdp727" w:colFirst="0" w:colLast="0"/>
      <w:bookmarkEnd w:id="2"/>
      <w:r>
        <w:rPr>
          <w:rFonts w:ascii="Times New Roman" w:eastAsia="Times New Roman" w:hAnsi="Times New Roman" w:cs="Times New Roman"/>
          <w:color w:val="000000"/>
          <w:sz w:val="25"/>
          <w:szCs w:val="25"/>
        </w:rPr>
        <w:t>Так, відповідно до майнових декларацій кандидата за 2015</w:t>
      </w:r>
      <w:r w:rsidR="009872EC">
        <w:rPr>
          <w:rFonts w:ascii="Times New Roman" w:eastAsia="Times New Roman" w:hAnsi="Times New Roman" w:cs="Times New Roman"/>
          <w:color w:val="000000"/>
          <w:sz w:val="25"/>
          <w:szCs w:val="25"/>
        </w:rPr>
        <w:t>–</w:t>
      </w:r>
      <w:r>
        <w:rPr>
          <w:rFonts w:ascii="Times New Roman" w:eastAsia="Times New Roman" w:hAnsi="Times New Roman" w:cs="Times New Roman"/>
          <w:color w:val="000000"/>
          <w:sz w:val="25"/>
          <w:szCs w:val="25"/>
        </w:rPr>
        <w:t xml:space="preserve">2020 роки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його безоплатному користуванні з 17 жовтня 2015 року перебував легковий автомобіль </w:t>
      </w:r>
      <w:proofErr w:type="spellStart"/>
      <w:r>
        <w:rPr>
          <w:rFonts w:ascii="Times New Roman" w:eastAsia="Times New Roman" w:hAnsi="Times New Roman" w:cs="Times New Roman"/>
          <w:color w:val="000000"/>
          <w:sz w:val="25"/>
          <w:szCs w:val="25"/>
        </w:rPr>
        <w:t>Ssang</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Yong</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Kyron</w:t>
      </w:r>
      <w:proofErr w:type="spellEnd"/>
      <w:r>
        <w:rPr>
          <w:rFonts w:ascii="Times New Roman" w:eastAsia="Times New Roman" w:hAnsi="Times New Roman" w:cs="Times New Roman"/>
          <w:color w:val="000000"/>
          <w:sz w:val="25"/>
          <w:szCs w:val="25"/>
        </w:rPr>
        <w:t xml:space="preserve"> 2008 року випуску. Власником цього транспортного засобу зазначено матір кандидата.</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пояснив, що його мати з 1996 року і </w:t>
      </w:r>
      <w:r w:rsidR="009872EC">
        <w:rPr>
          <w:rFonts w:ascii="Times New Roman" w:eastAsia="Times New Roman" w:hAnsi="Times New Roman" w:cs="Times New Roman"/>
          <w:color w:val="000000"/>
          <w:sz w:val="25"/>
          <w:szCs w:val="25"/>
          <w:lang w:val="uk-UA"/>
        </w:rPr>
        <w:t>дотепер</w:t>
      </w:r>
      <w:r>
        <w:rPr>
          <w:rFonts w:ascii="Times New Roman" w:eastAsia="Times New Roman" w:hAnsi="Times New Roman" w:cs="Times New Roman"/>
          <w:color w:val="000000"/>
          <w:sz w:val="25"/>
          <w:szCs w:val="25"/>
        </w:rPr>
        <w:t xml:space="preserve"> постійно проживає в місті Прага</w:t>
      </w:r>
      <w:r w:rsidR="009872EC">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республік</w:t>
      </w:r>
      <w:r w:rsidR="009872EC">
        <w:rPr>
          <w:rFonts w:ascii="Times New Roman" w:eastAsia="Times New Roman" w:hAnsi="Times New Roman" w:cs="Times New Roman"/>
          <w:color w:val="000000"/>
          <w:sz w:val="25"/>
          <w:szCs w:val="25"/>
          <w:lang w:val="uk-UA"/>
        </w:rPr>
        <w:t>а</w:t>
      </w:r>
      <w:r>
        <w:rPr>
          <w:rFonts w:ascii="Times New Roman" w:eastAsia="Times New Roman" w:hAnsi="Times New Roman" w:cs="Times New Roman"/>
          <w:color w:val="000000"/>
          <w:sz w:val="25"/>
          <w:szCs w:val="25"/>
        </w:rPr>
        <w:t xml:space="preserve"> Чехія, де офіційно працевлаштована і отримує значні доходи.</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Вказаний автомобіль було придбано матір’ю кандидата після призначення його на посаду судді виключно для забезпечення потреб у пересуванні до майбутнього місця роботи.</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Крім того, відповідно до майнових декларацій кандидата за 2016 та 2017 роки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користуванні колишньої дружини кандидата з 01 січня 2016 року </w:t>
      </w:r>
      <w:r w:rsidR="009872EC">
        <w:rPr>
          <w:rFonts w:ascii="Times New Roman" w:eastAsia="Times New Roman" w:hAnsi="Times New Roman" w:cs="Times New Roman"/>
          <w:color w:val="000000"/>
          <w:sz w:val="25"/>
          <w:szCs w:val="25"/>
          <w:lang w:val="uk-UA"/>
        </w:rPr>
        <w:t xml:space="preserve">дотепер </w:t>
      </w:r>
      <w:r w:rsidR="001E094D">
        <w:rPr>
          <w:rFonts w:ascii="Times New Roman" w:eastAsia="Times New Roman" w:hAnsi="Times New Roman" w:cs="Times New Roman"/>
          <w:color w:val="000000"/>
          <w:sz w:val="25"/>
          <w:szCs w:val="25"/>
        </w:rPr>
        <w:t>перебуває</w:t>
      </w:r>
      <w:r>
        <w:rPr>
          <w:rFonts w:ascii="Times New Roman" w:eastAsia="Times New Roman" w:hAnsi="Times New Roman" w:cs="Times New Roman"/>
          <w:color w:val="000000"/>
          <w:sz w:val="25"/>
          <w:szCs w:val="25"/>
        </w:rPr>
        <w:t xml:space="preserve"> легковий автомобіль </w:t>
      </w:r>
      <w:proofErr w:type="spellStart"/>
      <w:r>
        <w:rPr>
          <w:rFonts w:ascii="Times New Roman" w:eastAsia="Times New Roman" w:hAnsi="Times New Roman" w:cs="Times New Roman"/>
          <w:color w:val="000000"/>
          <w:sz w:val="25"/>
          <w:szCs w:val="25"/>
        </w:rPr>
        <w:t>Mitsubishi</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Lancer</w:t>
      </w:r>
      <w:proofErr w:type="spellEnd"/>
      <w:r>
        <w:rPr>
          <w:rFonts w:ascii="Times New Roman" w:eastAsia="Times New Roman" w:hAnsi="Times New Roman" w:cs="Times New Roman"/>
          <w:color w:val="000000"/>
          <w:sz w:val="25"/>
          <w:szCs w:val="25"/>
        </w:rPr>
        <w:t xml:space="preserve"> 2008 року випуску. Власником цього транспортного засобу зазначено тещу кандидата.</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надав пояснення, що після його призначення на посаду судді з метою забезпечення потреб сім’ї, зокрема полегшення умов пересування матері з двома </w:t>
      </w:r>
      <w:r w:rsidR="001E094D">
        <w:rPr>
          <w:rFonts w:ascii="Times New Roman" w:eastAsia="Times New Roman" w:hAnsi="Times New Roman" w:cs="Times New Roman"/>
          <w:color w:val="000000"/>
          <w:sz w:val="25"/>
          <w:szCs w:val="25"/>
          <w:lang w:val="uk-UA"/>
        </w:rPr>
        <w:t>ІНФОРМАЦІЯ_1</w:t>
      </w:r>
      <w:r>
        <w:rPr>
          <w:rFonts w:ascii="Times New Roman" w:eastAsia="Times New Roman" w:hAnsi="Times New Roman" w:cs="Times New Roman"/>
          <w:color w:val="000000"/>
          <w:sz w:val="25"/>
          <w:szCs w:val="25"/>
        </w:rPr>
        <w:t xml:space="preserve"> дітьми, його колишньою дружиною було прийнято рішення про отримання від її матері згоди на безоплатне користування цим автомобілем з 01 січня 2016 року.</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відомостями майнової декларації за 2024 рік кандидат придбав автомобіль марки TESLA, модель MODEL Y 2021 року випуску вартістю 1 012 975 грн.</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На думку ГРД, з урахуванням співвідношення вартості транспортного засобу до сукупних доходів сім’ї за вказаний період, а також факту придбання автомобіля такого класу в межах одного звітного періоду виникає обґрунтована потреба у з’ясуванні обставин формування грошових активів для його придбання.</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Кандидат надав пояснення, що для купівлі зазначеного авто ним були використані грошові кошти, отримані від продажу попереднього автомобіля (732 000 грн), а також частина грошових активів у вигляді поточних доходів у 2024 році та наявних заощаджень.</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ГРД також звертає увагу на те, що загальна кількість справ, які розглянув кандидат за статтею 130 КУпАП</w:t>
      </w:r>
      <w:r w:rsidR="009872EC">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становить 347 справ. Водночас у 19 випадках провадження у справах були закриті у зв’язку із закінченням строків притягнення до адміністративної відповідальності, що становить 5,47% від загальної кількості розглянутих справ у вказаній категорії. Наслідком цього, на думку ГРД, стало фактичне уникнення відповідальності особами, щодо яких були складені протоколи про керування транспортними засобами у стані сп’яніння.</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У своїх письмових поясненнях кандидат </w:t>
      </w:r>
      <w:r w:rsidR="009872EC">
        <w:rPr>
          <w:rFonts w:ascii="Times New Roman" w:eastAsia="Times New Roman" w:hAnsi="Times New Roman" w:cs="Times New Roman"/>
          <w:color w:val="000000"/>
          <w:sz w:val="25"/>
          <w:szCs w:val="25"/>
          <w:lang w:val="uk-UA"/>
        </w:rPr>
        <w:t>окреслив</w:t>
      </w:r>
      <w:r>
        <w:rPr>
          <w:rFonts w:ascii="Times New Roman" w:eastAsia="Times New Roman" w:hAnsi="Times New Roman" w:cs="Times New Roman"/>
          <w:color w:val="000000"/>
          <w:sz w:val="25"/>
          <w:szCs w:val="25"/>
        </w:rPr>
        <w:t xml:space="preserve"> мотив</w:t>
      </w:r>
      <w:r w:rsidR="009872EC">
        <w:rPr>
          <w:rFonts w:ascii="Times New Roman" w:eastAsia="Times New Roman" w:hAnsi="Times New Roman" w:cs="Times New Roman"/>
          <w:color w:val="000000"/>
          <w:sz w:val="25"/>
          <w:szCs w:val="25"/>
          <w:lang w:val="uk-UA"/>
        </w:rPr>
        <w:t>и</w:t>
      </w:r>
      <w:r>
        <w:rPr>
          <w:rFonts w:ascii="Times New Roman" w:eastAsia="Times New Roman" w:hAnsi="Times New Roman" w:cs="Times New Roman"/>
          <w:color w:val="000000"/>
          <w:sz w:val="25"/>
          <w:szCs w:val="25"/>
        </w:rPr>
        <w:t xml:space="preserve"> кожного з прийнятих рішень зазначеної категорії.</w:t>
      </w:r>
    </w:p>
    <w:p w:rsidR="00F025FB" w:rsidRDefault="0052548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ГРД також </w:t>
      </w:r>
      <w:r w:rsidR="002E21AC">
        <w:rPr>
          <w:rFonts w:ascii="Times New Roman" w:eastAsia="Times New Roman" w:hAnsi="Times New Roman" w:cs="Times New Roman"/>
          <w:color w:val="000000"/>
          <w:sz w:val="25"/>
          <w:szCs w:val="25"/>
        </w:rPr>
        <w:t>звернула</w:t>
      </w:r>
      <w:r>
        <w:rPr>
          <w:rFonts w:ascii="Times New Roman" w:eastAsia="Times New Roman" w:hAnsi="Times New Roman" w:cs="Times New Roman"/>
          <w:color w:val="000000"/>
          <w:sz w:val="25"/>
          <w:szCs w:val="25"/>
        </w:rPr>
        <w:t xml:space="preserve"> увагу на неодноразові випадки притягнення кандидата до адміністративної відповідальності за порушення у сфері забезпечення безпеки дорожнього руху.</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пояснив, що на початку широкомасштабного вторгнення активно займався волонтерською діяльністю. Особливість надання волонтерської допомоги часто полягала </w:t>
      </w:r>
      <w:r w:rsidR="009872EC">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терміновості виконання певних робіт, швидкості переміщення між об’єктами, що інколи призводило до вчинення </w:t>
      </w:r>
      <w:r w:rsidR="009872EC">
        <w:rPr>
          <w:rFonts w:ascii="Times New Roman" w:eastAsia="Times New Roman" w:hAnsi="Times New Roman" w:cs="Times New Roman"/>
          <w:color w:val="000000"/>
          <w:sz w:val="25"/>
          <w:szCs w:val="25"/>
          <w:lang w:val="uk-UA"/>
        </w:rPr>
        <w:t>п</w:t>
      </w:r>
      <w:r w:rsidR="002E21AC">
        <w:rPr>
          <w:rFonts w:ascii="Times New Roman" w:eastAsia="Times New Roman" w:hAnsi="Times New Roman" w:cs="Times New Roman"/>
          <w:color w:val="000000"/>
          <w:sz w:val="25"/>
          <w:szCs w:val="25"/>
          <w:lang w:val="uk-UA"/>
        </w:rPr>
        <w:t xml:space="preserve">орушень </w:t>
      </w:r>
      <w:r>
        <w:rPr>
          <w:rFonts w:ascii="Times New Roman" w:eastAsia="Times New Roman" w:hAnsi="Times New Roman" w:cs="Times New Roman"/>
          <w:color w:val="000000"/>
          <w:sz w:val="25"/>
          <w:szCs w:val="25"/>
        </w:rPr>
        <w:t>Правил дорожнього руху України.</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Кандидату було забезпечено можливість ознайомитись із досьє кандидата на посаду судді.</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Співбесіду з </w:t>
      </w:r>
      <w:proofErr w:type="spellStart"/>
      <w:r>
        <w:rPr>
          <w:rFonts w:ascii="Times New Roman" w:eastAsia="Times New Roman" w:hAnsi="Times New Roman" w:cs="Times New Roman"/>
          <w:color w:val="000000"/>
          <w:sz w:val="25"/>
          <w:szCs w:val="25"/>
        </w:rPr>
        <w:t>Бучинським</w:t>
      </w:r>
      <w:proofErr w:type="spellEnd"/>
      <w:r>
        <w:rPr>
          <w:rFonts w:ascii="Times New Roman" w:eastAsia="Times New Roman" w:hAnsi="Times New Roman" w:cs="Times New Roman"/>
          <w:color w:val="000000"/>
          <w:sz w:val="25"/>
          <w:szCs w:val="25"/>
        </w:rPr>
        <w:t xml:space="preserve"> А.Б. проведено 05 травня 2026 року. На початку співбесіди кандидата ознайомлено з його правами</w:t>
      </w:r>
      <w:r w:rsidR="00F477BE">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w:t>
      </w:r>
      <w:r w:rsidR="00F477BE">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Pr>
          <w:rFonts w:ascii="Times New Roman" w:eastAsia="Times New Roman" w:hAnsi="Times New Roman" w:cs="Times New Roman"/>
          <w:color w:val="000000"/>
          <w:sz w:val="25"/>
          <w:szCs w:val="25"/>
        </w:rPr>
        <w:t>неточностей</w:t>
      </w:r>
      <w:proofErr w:type="spellEnd"/>
      <w:r>
        <w:rPr>
          <w:rFonts w:ascii="Times New Roman" w:eastAsia="Times New Roman" w:hAnsi="Times New Roman" w:cs="Times New Roman"/>
          <w:color w:val="000000"/>
          <w:sz w:val="25"/>
          <w:szCs w:val="25"/>
        </w:rPr>
        <w:t xml:space="preserve"> чи неповноти відомостей за результатами дослідження досьє.</w:t>
      </w:r>
    </w:p>
    <w:p w:rsidR="00F025FB" w:rsidRDefault="0052548E">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F025FB" w:rsidRDefault="00F025FB">
      <w:pPr>
        <w:shd w:val="clear" w:color="auto" w:fill="FFFFFF"/>
        <w:spacing w:after="0" w:line="240" w:lineRule="auto"/>
        <w:ind w:left="709"/>
        <w:jc w:val="both"/>
        <w:rPr>
          <w:rFonts w:ascii="Times New Roman" w:eastAsia="Times New Roman" w:hAnsi="Times New Roman" w:cs="Times New Roman"/>
          <w:color w:val="000000"/>
          <w:sz w:val="25"/>
          <w:szCs w:val="25"/>
        </w:rPr>
      </w:pPr>
    </w:p>
    <w:p w:rsidR="00BB223A" w:rsidRDefault="00BB223A">
      <w:pPr>
        <w:shd w:val="clear" w:color="auto" w:fill="FFFFFF"/>
        <w:spacing w:after="0" w:line="240" w:lineRule="auto"/>
        <w:ind w:left="709"/>
        <w:jc w:val="both"/>
        <w:rPr>
          <w:rFonts w:ascii="Times New Roman" w:eastAsia="Times New Roman" w:hAnsi="Times New Roman" w:cs="Times New Roman"/>
          <w:color w:val="000000"/>
          <w:sz w:val="25"/>
          <w:szCs w:val="25"/>
        </w:rPr>
      </w:pPr>
    </w:p>
    <w:p w:rsidR="00BB223A" w:rsidRDefault="00BB223A">
      <w:pPr>
        <w:shd w:val="clear" w:color="auto" w:fill="FFFFFF"/>
        <w:spacing w:after="0" w:line="240" w:lineRule="auto"/>
        <w:ind w:left="709"/>
        <w:jc w:val="both"/>
        <w:rPr>
          <w:rFonts w:ascii="Times New Roman" w:eastAsia="Times New Roman" w:hAnsi="Times New Roman" w:cs="Times New Roman"/>
          <w:color w:val="000000"/>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u w:val="single"/>
        </w:rPr>
        <w:t>V-ІІ. Встановлення відповідності кандидата критерію особистої компетентності. </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Згідно з пунктами 2.4–2.7 Положення про кваліфікаційне оцінювання вбачається, що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Pr>
          <w:rFonts w:ascii="Times New Roman" w:eastAsia="Times New Roman" w:hAnsi="Times New Roman" w:cs="Times New Roman"/>
          <w:color w:val="000000"/>
          <w:sz w:val="25"/>
          <w:szCs w:val="25"/>
        </w:rPr>
        <w:t>відповідально</w:t>
      </w:r>
      <w:proofErr w:type="spellEnd"/>
      <w:r>
        <w:rPr>
          <w:rFonts w:ascii="Times New Roman" w:eastAsia="Times New Roman" w:hAnsi="Times New Roman" w:cs="Times New Roman"/>
          <w:color w:val="000000"/>
          <w:sz w:val="25"/>
          <w:szCs w:val="25"/>
        </w:rPr>
        <w:t xml:space="preserve">, самостійно, цілеспрямовано та </w:t>
      </w:r>
      <w:proofErr w:type="spellStart"/>
      <w:r>
        <w:rPr>
          <w:rFonts w:ascii="Times New Roman" w:eastAsia="Times New Roman" w:hAnsi="Times New Roman" w:cs="Times New Roman"/>
          <w:color w:val="000000"/>
          <w:sz w:val="25"/>
          <w:szCs w:val="25"/>
        </w:rPr>
        <w:t>стійко</w:t>
      </w:r>
      <w:proofErr w:type="spellEnd"/>
      <w:r>
        <w:rPr>
          <w:rFonts w:ascii="Times New Roman" w:eastAsia="Times New Roman" w:hAnsi="Times New Roman" w:cs="Times New Roman"/>
          <w:color w:val="000000"/>
          <w:sz w:val="25"/>
          <w:szCs w:val="25"/>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F025FB" w:rsidRDefault="0052548E">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F025FB" w:rsidRDefault="0052548E">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F025FB" w:rsidRDefault="0052548E">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Pr>
          <w:rFonts w:ascii="Times New Roman" w:eastAsia="Times New Roman" w:hAnsi="Times New Roman" w:cs="Times New Roman"/>
          <w:color w:val="000000"/>
          <w:sz w:val="25"/>
          <w:szCs w:val="25"/>
        </w:rPr>
        <w:t>уроки</w:t>
      </w:r>
      <w:proofErr w:type="spellEnd"/>
      <w:r>
        <w:rPr>
          <w:rFonts w:ascii="Times New Roman" w:eastAsia="Times New Roman" w:hAnsi="Times New Roman" w:cs="Times New Roman"/>
          <w:color w:val="000000"/>
          <w:sz w:val="25"/>
          <w:szCs w:val="25"/>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Pr>
          <w:rFonts w:ascii="Times New Roman" w:eastAsia="Times New Roman" w:hAnsi="Times New Roman" w:cs="Times New Roman"/>
          <w:color w:val="000000"/>
          <w:sz w:val="25"/>
          <w:szCs w:val="25"/>
        </w:rPr>
        <w:t>проєктах</w:t>
      </w:r>
      <w:proofErr w:type="spellEnd"/>
      <w:r>
        <w:rPr>
          <w:rFonts w:ascii="Times New Roman" w:eastAsia="Times New Roman" w:hAnsi="Times New Roman" w:cs="Times New Roman"/>
          <w:color w:val="000000"/>
          <w:sz w:val="25"/>
          <w:szCs w:val="25"/>
        </w:rPr>
        <w:t xml:space="preserve"> юридичного спрямування, пише статті, колонки або блоги на правову тематику тощо.</w:t>
      </w:r>
    </w:p>
    <w:p w:rsidR="00F025FB" w:rsidRDefault="0052548E">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Вагу критерію особистої компетентності та її показників визначено таким чином: особиста компетентність – 50 балів, з яких:</w:t>
      </w:r>
      <w:bookmarkStart w:id="3" w:name="bookmark=id.jf1ljrcezu0r" w:colFirst="0" w:colLast="0"/>
      <w:bookmarkEnd w:id="3"/>
      <w:r>
        <w:rPr>
          <w:rFonts w:ascii="Times New Roman" w:eastAsia="Times New Roman" w:hAnsi="Times New Roman" w:cs="Times New Roman"/>
          <w:color w:val="000000"/>
          <w:sz w:val="25"/>
          <w:szCs w:val="25"/>
        </w:rPr>
        <w:t xml:space="preserve"> рішучість та відповідальність – 25 балів</w:t>
      </w:r>
      <w:bookmarkStart w:id="4" w:name="bookmark=id.yrwzynva3u48" w:colFirst="0" w:colLast="0"/>
      <w:bookmarkEnd w:id="4"/>
      <w:r>
        <w:rPr>
          <w:rFonts w:ascii="Times New Roman" w:eastAsia="Times New Roman" w:hAnsi="Times New Roman" w:cs="Times New Roman"/>
          <w:color w:val="000000"/>
          <w:sz w:val="25"/>
          <w:szCs w:val="25"/>
        </w:rPr>
        <w:t>; безперервний розвиток – 25 балів.</w:t>
      </w:r>
      <w:bookmarkStart w:id="5" w:name="bookmark=id.yo9yhqb96ozz" w:colFirst="0" w:colLast="0"/>
      <w:bookmarkEnd w:id="5"/>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F025FB" w:rsidRDefault="0052548E">
      <w:pPr>
        <w:numPr>
          <w:ilvl w:val="0"/>
          <w:numId w:val="6"/>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F025FB" w:rsidRDefault="0052548E">
      <w:pPr>
        <w:numPr>
          <w:ilvl w:val="0"/>
          <w:numId w:val="6"/>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F025FB" w:rsidRDefault="00F025FB">
      <w:pPr>
        <w:spacing w:after="0" w:line="240" w:lineRule="auto"/>
        <w:jc w:val="both"/>
        <w:rPr>
          <w:rFonts w:ascii="Times New Roman" w:eastAsia="Times New Roman" w:hAnsi="Times New Roman" w:cs="Times New Roman"/>
          <w:color w:val="000000"/>
          <w:sz w:val="25"/>
          <w:szCs w:val="25"/>
        </w:rPr>
      </w:pPr>
    </w:p>
    <w:tbl>
      <w:tblPr>
        <w:tblStyle w:val="a6"/>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F025FB">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Бал за критерій</w:t>
            </w:r>
          </w:p>
        </w:tc>
      </w:tr>
      <w:tr w:rsidR="00F025FB">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52548E">
            <w:pPr>
              <w:rPr>
                <w:rFonts w:ascii="Times New Roman" w:eastAsia="Times New Roman" w:hAnsi="Times New Roman" w:cs="Times New Roman"/>
                <w:sz w:val="25"/>
                <w:szCs w:val="25"/>
              </w:rPr>
            </w:pPr>
            <w:r>
              <w:rPr>
                <w:rFonts w:ascii="Times New Roman" w:eastAsia="Times New Roman" w:hAnsi="Times New Roman" w:cs="Times New Roman"/>
                <w:sz w:val="25"/>
                <w:szCs w:val="25"/>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21,00</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41,00</w:t>
            </w:r>
          </w:p>
        </w:tc>
      </w:tr>
      <w:tr w:rsidR="00F025FB">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F025FB" w:rsidRDefault="0052548E">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20,00</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Надана кандидатом інформація </w:t>
      </w:r>
      <w:r w:rsidR="00F477BE">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письмових поясненнях та під час співбесіди продемонструвала його належний рівень відповідальності та безперервного розвитку.</w:t>
      </w:r>
    </w:p>
    <w:p w:rsidR="00F025FB" w:rsidRDefault="0052548E">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41 бал із 50 можливих, що вище за 75% (37,5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максимально можливого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 </w:t>
      </w:r>
    </w:p>
    <w:p w:rsidR="00F025FB" w:rsidRDefault="00F025FB">
      <w:pPr>
        <w:shd w:val="clear" w:color="auto" w:fill="FFFFFF"/>
        <w:spacing w:after="0" w:line="240" w:lineRule="auto"/>
        <w:ind w:left="709"/>
        <w:jc w:val="both"/>
        <w:rPr>
          <w:rFonts w:ascii="Times New Roman" w:eastAsia="Times New Roman" w:hAnsi="Times New Roman" w:cs="Times New Roman"/>
          <w:color w:val="000000"/>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u w:val="single"/>
        </w:rPr>
        <w:t>V-ІІІ. Встановлення відповідності кандидата критерію соціальної компетентності.</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F025FB" w:rsidRDefault="0052548E">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F025FB" w:rsidRDefault="0052548E">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F025FB" w:rsidRDefault="0052548E">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w:t>
      </w:r>
      <w:r>
        <w:rPr>
          <w:rFonts w:ascii="Times New Roman" w:eastAsia="Times New Roman" w:hAnsi="Times New Roman" w:cs="Times New Roman"/>
          <w:color w:val="000000"/>
          <w:sz w:val="25"/>
          <w:szCs w:val="25"/>
        </w:rPr>
        <w:lastRenderedPageBreak/>
        <w:t>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F025FB" w:rsidRDefault="0052548E">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F025FB" w:rsidRDefault="0052548E">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ефективна взаємодія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стійкість мотивації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емоційна стійкість – 12,5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proofErr w:type="spellStart"/>
      <w:r>
        <w:rPr>
          <w:rFonts w:ascii="Times New Roman" w:eastAsia="Times New Roman" w:hAnsi="Times New Roman" w:cs="Times New Roman"/>
          <w:color w:val="000000"/>
          <w:sz w:val="25"/>
          <w:szCs w:val="25"/>
        </w:rPr>
        <w:t>обовʼязок</w:t>
      </w:r>
      <w:proofErr w:type="spellEnd"/>
      <w:r>
        <w:rPr>
          <w:rFonts w:ascii="Times New Roman" w:eastAsia="Times New Roman" w:hAnsi="Times New Roman" w:cs="Times New Roman"/>
          <w:color w:val="000000"/>
          <w:sz w:val="25"/>
          <w:szCs w:val="25"/>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Pr>
          <w:rFonts w:ascii="Times New Roman" w:eastAsia="Times New Roman" w:hAnsi="Times New Roman" w:cs="Times New Roman"/>
          <w:color w:val="000000"/>
          <w:sz w:val="25"/>
          <w:szCs w:val="25"/>
        </w:rPr>
        <w:t>логічно</w:t>
      </w:r>
      <w:proofErr w:type="spellEnd"/>
      <w:r>
        <w:rPr>
          <w:rFonts w:ascii="Times New Roman" w:eastAsia="Times New Roman" w:hAnsi="Times New Roman" w:cs="Times New Roman"/>
          <w:color w:val="000000"/>
          <w:sz w:val="25"/>
          <w:szCs w:val="25"/>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F025FB" w:rsidRDefault="0052548E">
      <w:pPr>
        <w:numPr>
          <w:ilvl w:val="0"/>
          <w:numId w:val="7"/>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F025FB" w:rsidRDefault="0052548E">
      <w:pPr>
        <w:numPr>
          <w:ilvl w:val="0"/>
          <w:numId w:val="7"/>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F025FB">
        <w:trPr>
          <w:trHeight w:val="315"/>
        </w:trPr>
        <w:tc>
          <w:tcPr>
            <w:tcW w:w="1820" w:type="dxa"/>
            <w:shd w:val="clear" w:color="auto" w:fill="F2F2F2"/>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Критерій</w:t>
            </w:r>
          </w:p>
        </w:tc>
        <w:tc>
          <w:tcPr>
            <w:tcW w:w="1701" w:type="dxa"/>
            <w:shd w:val="clear" w:color="auto" w:fill="F2F2F2"/>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Показник</w:t>
            </w:r>
          </w:p>
        </w:tc>
        <w:tc>
          <w:tcPr>
            <w:tcW w:w="2488" w:type="dxa"/>
            <w:gridSpan w:val="3"/>
            <w:shd w:val="clear" w:color="auto" w:fill="F2F2F2"/>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Бал за критерій</w:t>
            </w:r>
          </w:p>
        </w:tc>
      </w:tr>
      <w:tr w:rsidR="00F025FB">
        <w:trPr>
          <w:trHeight w:val="663"/>
        </w:trPr>
        <w:tc>
          <w:tcPr>
            <w:tcW w:w="1820" w:type="dxa"/>
            <w:vMerge w:val="restart"/>
            <w:tcMar>
              <w:top w:w="30" w:type="dxa"/>
              <w:left w:w="45" w:type="dxa"/>
              <w:bottom w:w="30" w:type="dxa"/>
              <w:right w:w="45"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Соціальна компетентність</w:t>
            </w:r>
          </w:p>
        </w:tc>
        <w:tc>
          <w:tcPr>
            <w:tcW w:w="1701"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Ефективна комунікація</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30"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10</w:t>
            </w:r>
          </w:p>
        </w:tc>
        <w:tc>
          <w:tcPr>
            <w:tcW w:w="2334"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10,00</w:t>
            </w:r>
          </w:p>
        </w:tc>
        <w:tc>
          <w:tcPr>
            <w:tcW w:w="1249" w:type="dxa"/>
            <w:vMerge w:val="restart"/>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39,33</w:t>
            </w:r>
          </w:p>
        </w:tc>
      </w:tr>
      <w:tr w:rsidR="00F025FB">
        <w:trPr>
          <w:trHeight w:val="747"/>
        </w:trPr>
        <w:tc>
          <w:tcPr>
            <w:tcW w:w="1820"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Ефективна взаємодія</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830"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sz w:val="25"/>
                <w:szCs w:val="25"/>
              </w:rPr>
              <w:t>10</w:t>
            </w:r>
          </w:p>
        </w:tc>
        <w:tc>
          <w:tcPr>
            <w:tcW w:w="2334"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10,00</w:t>
            </w:r>
          </w:p>
        </w:tc>
        <w:tc>
          <w:tcPr>
            <w:tcW w:w="1249"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trHeight w:val="700"/>
        </w:trPr>
        <w:tc>
          <w:tcPr>
            <w:tcW w:w="1820"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Стійкість мотивації</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830"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10</w:t>
            </w:r>
          </w:p>
        </w:tc>
        <w:tc>
          <w:tcPr>
            <w:tcW w:w="2334"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10,33</w:t>
            </w:r>
          </w:p>
        </w:tc>
        <w:tc>
          <w:tcPr>
            <w:tcW w:w="1249"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trHeight w:val="598"/>
        </w:trPr>
        <w:tc>
          <w:tcPr>
            <w:tcW w:w="1820"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Емоційна стійкість</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9</w:t>
            </w:r>
          </w:p>
        </w:tc>
        <w:tc>
          <w:tcPr>
            <w:tcW w:w="829"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830"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9</w:t>
            </w:r>
          </w:p>
        </w:tc>
        <w:tc>
          <w:tcPr>
            <w:tcW w:w="2334" w:type="dxa"/>
            <w:tcMar>
              <w:top w:w="30" w:type="dxa"/>
              <w:left w:w="45" w:type="dxa"/>
              <w:bottom w:w="30" w:type="dxa"/>
              <w:right w:w="45"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9,0</w:t>
            </w:r>
          </w:p>
        </w:tc>
        <w:tc>
          <w:tcPr>
            <w:tcW w:w="1249" w:type="dxa"/>
            <w:vMerge/>
            <w:tcMar>
              <w:top w:w="30" w:type="dxa"/>
              <w:left w:w="45" w:type="dxa"/>
              <w:bottom w:w="30" w:type="dxa"/>
              <w:right w:w="45"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Отже, Комісія вважає, що кандидат під час співбесіди продемонстрував належний рівень соціальної компетентності.</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39,33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із 50 можливих, що вище за 75% (37,5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xml:space="preserve">) максимально можливого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 тому Комісія виснує, що кандидат відповідає критерію соціальної компетентності. </w:t>
      </w:r>
    </w:p>
    <w:p w:rsidR="00F025FB" w:rsidRDefault="00F025FB">
      <w:pPr>
        <w:shd w:val="clear" w:color="auto" w:fill="FFFFFF"/>
        <w:spacing w:after="0" w:line="240" w:lineRule="auto"/>
        <w:ind w:left="709"/>
        <w:jc w:val="both"/>
        <w:rPr>
          <w:rFonts w:ascii="Times New Roman" w:eastAsia="Times New Roman" w:hAnsi="Times New Roman" w:cs="Times New Roman"/>
          <w:color w:val="000000"/>
          <w:sz w:val="25"/>
          <w:szCs w:val="25"/>
        </w:rPr>
      </w:pPr>
    </w:p>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u w:val="single"/>
        </w:rPr>
        <w:t>V-ІV. Загальні принципи, застосовані Комісією при встановленні відповідності кандидата критеріям професійної етики та доброчесності.</w:t>
      </w:r>
    </w:p>
    <w:p w:rsidR="00F025FB" w:rsidRDefault="00F025FB">
      <w:pPr>
        <w:spacing w:after="0" w:line="240" w:lineRule="auto"/>
        <w:rPr>
          <w:rFonts w:ascii="Times New Roman" w:eastAsia="Times New Roman" w:hAnsi="Times New Roman" w:cs="Times New Roman"/>
          <w:sz w:val="25"/>
          <w:szCs w:val="25"/>
        </w:rPr>
      </w:pP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w:t>
      </w:r>
      <w:r>
        <w:rPr>
          <w:rFonts w:ascii="Times New Roman" w:eastAsia="Times New Roman" w:hAnsi="Times New Roman" w:cs="Times New Roman"/>
          <w:color w:val="000000"/>
          <w:sz w:val="25"/>
          <w:szCs w:val="25"/>
        </w:rPr>
        <w:lastRenderedPageBreak/>
        <w:t>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Відповідність кандидата на посаду судді критеріям доброчесності та професійної етики встановлюється за такими показниками:</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Незалежність.</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Чесність.</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Неупередженість.</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Сумлінність.</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Непідкупність.</w:t>
      </w:r>
    </w:p>
    <w:p w:rsidR="00F025FB" w:rsidRDefault="0052548E">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Дотримання етичних норм і бездоганна поведінка у професійній діяльності та особистому житті.</w:t>
      </w:r>
    </w:p>
    <w:p w:rsidR="00F025FB" w:rsidRDefault="0052548E">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пункту 21 Єдиних показників суддя (кандидат на посаду судді) відповідає цьому показнику,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Встановлення невідповідності показникам відбувається через призму істотності та суттєвості невідповідності тому чи іншому показнику.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Pr>
          <w:rFonts w:ascii="Times New Roman" w:eastAsia="Times New Roman" w:hAnsi="Times New Roman" w:cs="Times New Roman"/>
          <w:color w:val="000000"/>
          <w:sz w:val="25"/>
          <w:szCs w:val="25"/>
        </w:rPr>
        <w:t>дискреції</w:t>
      </w:r>
      <w:proofErr w:type="spellEnd"/>
      <w:r>
        <w:rPr>
          <w:rFonts w:ascii="Times New Roman" w:eastAsia="Times New Roman" w:hAnsi="Times New Roman" w:cs="Times New Roman"/>
          <w:color w:val="000000"/>
          <w:sz w:val="25"/>
          <w:szCs w:val="25"/>
        </w:rPr>
        <w:t xml:space="preserve"> Комісії сума балів є фіксованою, а застосування такого зниження потребує окремого голосування під час закритого обговорення.</w:t>
      </w:r>
    </w:p>
    <w:p w:rsidR="00F025FB" w:rsidRDefault="00F025FB">
      <w:pPr>
        <w:shd w:val="clear" w:color="auto" w:fill="FFFFFF"/>
        <w:spacing w:after="0" w:line="240" w:lineRule="auto"/>
        <w:ind w:firstLine="709"/>
        <w:jc w:val="both"/>
        <w:rPr>
          <w:rFonts w:ascii="Times New Roman" w:eastAsia="Times New Roman" w:hAnsi="Times New Roman" w:cs="Times New Roman"/>
          <w:color w:val="000000"/>
          <w:sz w:val="25"/>
          <w:szCs w:val="25"/>
        </w:rPr>
      </w:pPr>
    </w:p>
    <w:p w:rsidR="00F025FB" w:rsidRDefault="0052548E" w:rsidP="00BB223A">
      <w:pPr>
        <w:spacing w:after="0" w:line="240" w:lineRule="auto"/>
        <w:jc w:val="both"/>
        <w:rPr>
          <w:rFonts w:ascii="Times New Roman" w:eastAsia="Times New Roman" w:hAnsi="Times New Roman" w:cs="Times New Roman"/>
          <w:color w:val="000000"/>
          <w:sz w:val="25"/>
          <w:szCs w:val="25"/>
          <w:u w:val="single"/>
        </w:rPr>
      </w:pPr>
      <w:r>
        <w:rPr>
          <w:rFonts w:ascii="Times New Roman" w:eastAsia="Times New Roman" w:hAnsi="Times New Roman" w:cs="Times New Roman"/>
          <w:color w:val="000000"/>
          <w:sz w:val="25"/>
          <w:szCs w:val="25"/>
          <w:u w:val="single"/>
        </w:rPr>
        <w:t>V-V. Встановлення відповідності кандидата критеріям професійної етики та доброчесності.</w:t>
      </w:r>
    </w:p>
    <w:p w:rsidR="00F025FB" w:rsidRDefault="00F025FB">
      <w:pPr>
        <w:spacing w:after="0" w:line="240" w:lineRule="auto"/>
        <w:ind w:firstLine="709"/>
        <w:jc w:val="both"/>
        <w:rPr>
          <w:rFonts w:ascii="Times New Roman" w:eastAsia="Times New Roman" w:hAnsi="Times New Roman" w:cs="Times New Roman"/>
          <w:sz w:val="25"/>
          <w:szCs w:val="25"/>
        </w:rPr>
      </w:pP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Комісією не встановлено істотних обставин, які свідчать про невідповідність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критеріям доброчесності та професійної етики.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Водночас Комісією встановлено таке.</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наданого ГРД рішення кандидат у майновій декларації за 2016 рік задекларував сукупний дохід, отриманий ним та його на </w:t>
      </w:r>
      <w:r w:rsidR="00F477BE">
        <w:rPr>
          <w:rFonts w:ascii="Times New Roman" w:eastAsia="Times New Roman" w:hAnsi="Times New Roman" w:cs="Times New Roman"/>
          <w:color w:val="000000"/>
          <w:sz w:val="25"/>
          <w:szCs w:val="25"/>
          <w:lang w:val="uk-UA"/>
        </w:rPr>
        <w:t>сьогодні</w:t>
      </w:r>
      <w:r>
        <w:rPr>
          <w:rFonts w:ascii="Times New Roman" w:eastAsia="Times New Roman" w:hAnsi="Times New Roman" w:cs="Times New Roman"/>
          <w:color w:val="000000"/>
          <w:sz w:val="25"/>
          <w:szCs w:val="25"/>
        </w:rPr>
        <w:t xml:space="preserve"> колишньою дружиною, у розмірі 167 634 грн (без урахування сум сплачених податків).</w:t>
      </w:r>
    </w:p>
    <w:p w:rsidR="00F025FB" w:rsidRDefault="0052548E">
      <w:pPr>
        <w:numPr>
          <w:ilvl w:val="0"/>
          <w:numId w:val="3"/>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Водночас Комісія бере до уваги, що до сум доходів, отриманих сім’єю кандидата у 2016 році, включено кредитні кошти в розмірі 23 201 грн.</w:t>
      </w:r>
    </w:p>
    <w:p w:rsidR="00F025FB" w:rsidRDefault="0052548E">
      <w:pPr>
        <w:numPr>
          <w:ilvl w:val="0"/>
          <w:numId w:val="3"/>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Кредит, або позика, отримані суб’єктом декларування, відповідно до положень пункту 7 статті 46 Закону України «Про запобігання корупції» не </w:t>
      </w:r>
      <w:r w:rsidR="00F477BE">
        <w:rPr>
          <w:rFonts w:ascii="Times New Roman" w:eastAsia="Times New Roman" w:hAnsi="Times New Roman" w:cs="Times New Roman"/>
          <w:color w:val="000000"/>
          <w:sz w:val="25"/>
          <w:szCs w:val="25"/>
          <w:lang w:val="uk-UA"/>
        </w:rPr>
        <w:t>підлягають</w:t>
      </w:r>
      <w:r>
        <w:rPr>
          <w:rFonts w:ascii="Times New Roman" w:eastAsia="Times New Roman" w:hAnsi="Times New Roman" w:cs="Times New Roman"/>
          <w:color w:val="000000"/>
          <w:sz w:val="25"/>
          <w:szCs w:val="25"/>
        </w:rPr>
        <w:t xml:space="preserve"> </w:t>
      </w:r>
      <w:r w:rsidR="002E21AC">
        <w:rPr>
          <w:rFonts w:ascii="Times New Roman" w:eastAsia="Times New Roman" w:hAnsi="Times New Roman" w:cs="Times New Roman"/>
          <w:color w:val="000000"/>
          <w:sz w:val="25"/>
          <w:szCs w:val="25"/>
        </w:rPr>
        <w:t>декларуванню</w:t>
      </w:r>
      <w:r>
        <w:rPr>
          <w:rFonts w:ascii="Times New Roman" w:eastAsia="Times New Roman" w:hAnsi="Times New Roman" w:cs="Times New Roman"/>
          <w:color w:val="000000"/>
          <w:sz w:val="25"/>
          <w:szCs w:val="25"/>
        </w:rPr>
        <w:t xml:space="preserve"> в розділі 11 декларації «Доходи, у тому числі подарунки».</w:t>
      </w:r>
    </w:p>
    <w:p w:rsidR="00F025FB" w:rsidRDefault="0052548E">
      <w:pPr>
        <w:numPr>
          <w:ilvl w:val="0"/>
          <w:numId w:val="3"/>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Отже, доходи сім’ї кандидата за 2016 рік без урахування фінансових зобов’язань становили 144 433 грн.</w:t>
      </w:r>
    </w:p>
    <w:p w:rsidR="00F025FB" w:rsidRDefault="00F477BE">
      <w:pPr>
        <w:numPr>
          <w:ilvl w:val="0"/>
          <w:numId w:val="3"/>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lang w:val="uk-UA"/>
        </w:rPr>
        <w:t>Своєю чергою</w:t>
      </w:r>
      <w:r w:rsidR="0052548E">
        <w:rPr>
          <w:rFonts w:ascii="Times New Roman" w:eastAsia="Times New Roman" w:hAnsi="Times New Roman" w:cs="Times New Roman"/>
          <w:color w:val="000000"/>
          <w:sz w:val="25"/>
          <w:szCs w:val="25"/>
        </w:rPr>
        <w:t xml:space="preserve"> відповідно до майнової декларації кандидата за 2016 рік заощадження його сім’ї на кінець звітного періоду </w:t>
      </w:r>
      <w:r w:rsidR="0052548E">
        <w:rPr>
          <w:rFonts w:ascii="Times New Roman" w:eastAsia="Times New Roman" w:hAnsi="Times New Roman" w:cs="Times New Roman"/>
          <w:sz w:val="25"/>
          <w:szCs w:val="25"/>
        </w:rPr>
        <w:t>становили 241 грн та 17 000 доларів США. Відповідно, сума доларів США</w:t>
      </w:r>
      <w:r w:rsidR="0052548E">
        <w:rPr>
          <w:rFonts w:ascii="Times New Roman" w:eastAsia="Times New Roman" w:hAnsi="Times New Roman" w:cs="Times New Roman"/>
          <w:color w:val="000000"/>
          <w:sz w:val="25"/>
          <w:szCs w:val="25"/>
        </w:rPr>
        <w:t xml:space="preserve"> збільшил</w:t>
      </w:r>
      <w:r w:rsidR="0052548E">
        <w:rPr>
          <w:rFonts w:ascii="Times New Roman" w:eastAsia="Times New Roman" w:hAnsi="Times New Roman" w:cs="Times New Roman"/>
          <w:sz w:val="25"/>
          <w:szCs w:val="25"/>
        </w:rPr>
        <w:t>а</w:t>
      </w:r>
      <w:r w:rsidR="0052548E">
        <w:rPr>
          <w:rFonts w:ascii="Times New Roman" w:eastAsia="Times New Roman" w:hAnsi="Times New Roman" w:cs="Times New Roman"/>
          <w:color w:val="000000"/>
          <w:sz w:val="25"/>
          <w:szCs w:val="25"/>
        </w:rPr>
        <w:t>с</w:t>
      </w:r>
      <w:r w:rsidR="0052548E">
        <w:rPr>
          <w:rFonts w:ascii="Times New Roman" w:eastAsia="Times New Roman" w:hAnsi="Times New Roman" w:cs="Times New Roman"/>
          <w:sz w:val="25"/>
          <w:szCs w:val="25"/>
        </w:rPr>
        <w:t>ь</w:t>
      </w:r>
      <w:r w:rsidR="0052548E">
        <w:rPr>
          <w:rFonts w:ascii="Times New Roman" w:eastAsia="Times New Roman" w:hAnsi="Times New Roman" w:cs="Times New Roman"/>
          <w:color w:val="000000"/>
          <w:sz w:val="25"/>
          <w:szCs w:val="25"/>
        </w:rPr>
        <w:t xml:space="preserve"> на 2000 </w:t>
      </w:r>
      <w:proofErr w:type="spellStart"/>
      <w:r w:rsidR="0052548E">
        <w:rPr>
          <w:rFonts w:ascii="Times New Roman" w:eastAsia="Times New Roman" w:hAnsi="Times New Roman" w:cs="Times New Roman"/>
          <w:color w:val="000000"/>
          <w:sz w:val="25"/>
          <w:szCs w:val="25"/>
        </w:rPr>
        <w:t>дол</w:t>
      </w:r>
      <w:proofErr w:type="spellEnd"/>
      <w:r>
        <w:rPr>
          <w:rFonts w:ascii="Times New Roman" w:eastAsia="Times New Roman" w:hAnsi="Times New Roman" w:cs="Times New Roman"/>
          <w:color w:val="000000"/>
          <w:sz w:val="25"/>
          <w:szCs w:val="25"/>
          <w:lang w:val="uk-UA"/>
        </w:rPr>
        <w:t>.</w:t>
      </w:r>
      <w:r w:rsidR="0052548E">
        <w:rPr>
          <w:rFonts w:ascii="Times New Roman" w:eastAsia="Times New Roman" w:hAnsi="Times New Roman" w:cs="Times New Roman"/>
          <w:color w:val="000000"/>
          <w:sz w:val="25"/>
          <w:szCs w:val="25"/>
        </w:rPr>
        <w:t xml:space="preserve"> США (еквівалент 51</w:t>
      </w:r>
      <w:r>
        <w:rPr>
          <w:rFonts w:ascii="Times New Roman" w:eastAsia="Times New Roman" w:hAnsi="Times New Roman" w:cs="Times New Roman"/>
          <w:color w:val="000000"/>
          <w:sz w:val="25"/>
          <w:szCs w:val="25"/>
        </w:rPr>
        <w:t> </w:t>
      </w:r>
      <w:r w:rsidR="0052548E">
        <w:rPr>
          <w:rFonts w:ascii="Times New Roman" w:eastAsia="Times New Roman" w:hAnsi="Times New Roman" w:cs="Times New Roman"/>
          <w:color w:val="000000"/>
          <w:sz w:val="25"/>
          <w:szCs w:val="25"/>
        </w:rPr>
        <w:t>100</w:t>
      </w:r>
      <w:r>
        <w:rPr>
          <w:rFonts w:ascii="Times New Roman" w:eastAsia="Times New Roman" w:hAnsi="Times New Roman" w:cs="Times New Roman"/>
          <w:color w:val="000000"/>
          <w:sz w:val="25"/>
          <w:szCs w:val="25"/>
          <w:lang w:val="uk-UA"/>
        </w:rPr>
        <w:t> </w:t>
      </w:r>
      <w:r w:rsidR="0052548E">
        <w:rPr>
          <w:rFonts w:ascii="Times New Roman" w:eastAsia="Times New Roman" w:hAnsi="Times New Roman" w:cs="Times New Roman"/>
          <w:color w:val="000000"/>
          <w:sz w:val="25"/>
          <w:szCs w:val="25"/>
        </w:rPr>
        <w:t xml:space="preserve">грн згідно </w:t>
      </w:r>
      <w:r>
        <w:rPr>
          <w:rFonts w:ascii="Times New Roman" w:eastAsia="Times New Roman" w:hAnsi="Times New Roman" w:cs="Times New Roman"/>
          <w:color w:val="000000"/>
          <w:sz w:val="25"/>
          <w:szCs w:val="25"/>
          <w:lang w:val="uk-UA"/>
        </w:rPr>
        <w:t xml:space="preserve">з </w:t>
      </w:r>
      <w:r w:rsidR="0052548E" w:rsidRPr="00F477BE">
        <w:rPr>
          <w:rFonts w:ascii="Times New Roman" w:eastAsia="Times New Roman" w:hAnsi="Times New Roman" w:cs="Times New Roman"/>
          <w:color w:val="000000"/>
          <w:sz w:val="25"/>
          <w:szCs w:val="25"/>
          <w:lang w:val="uk-UA"/>
        </w:rPr>
        <w:t>офіційн</w:t>
      </w:r>
      <w:r w:rsidRPr="00F477BE">
        <w:rPr>
          <w:rFonts w:ascii="Times New Roman" w:eastAsia="Times New Roman" w:hAnsi="Times New Roman" w:cs="Times New Roman"/>
          <w:color w:val="000000"/>
          <w:sz w:val="25"/>
          <w:szCs w:val="25"/>
          <w:lang w:val="uk-UA"/>
        </w:rPr>
        <w:t>им</w:t>
      </w:r>
      <w:r w:rsidR="0052548E">
        <w:rPr>
          <w:rFonts w:ascii="Times New Roman" w:eastAsia="Times New Roman" w:hAnsi="Times New Roman" w:cs="Times New Roman"/>
          <w:color w:val="000000"/>
          <w:sz w:val="25"/>
          <w:szCs w:val="25"/>
        </w:rPr>
        <w:t xml:space="preserve"> курс</w:t>
      </w:r>
      <w:proofErr w:type="spellStart"/>
      <w:r>
        <w:rPr>
          <w:rFonts w:ascii="Times New Roman" w:eastAsia="Times New Roman" w:hAnsi="Times New Roman" w:cs="Times New Roman"/>
          <w:color w:val="000000"/>
          <w:sz w:val="25"/>
          <w:szCs w:val="25"/>
          <w:lang w:val="uk-UA"/>
        </w:rPr>
        <w:t>ом</w:t>
      </w:r>
      <w:proofErr w:type="spellEnd"/>
      <w:r w:rsidR="0052548E">
        <w:rPr>
          <w:rFonts w:ascii="Times New Roman" w:eastAsia="Times New Roman" w:hAnsi="Times New Roman" w:cs="Times New Roman"/>
          <w:color w:val="000000"/>
          <w:sz w:val="25"/>
          <w:szCs w:val="25"/>
        </w:rPr>
        <w:t xml:space="preserve"> Національного банку України), </w:t>
      </w:r>
      <w:r w:rsidR="0052548E">
        <w:rPr>
          <w:rFonts w:ascii="Times New Roman" w:eastAsia="Times New Roman" w:hAnsi="Times New Roman" w:cs="Times New Roman"/>
          <w:sz w:val="25"/>
          <w:szCs w:val="25"/>
        </w:rPr>
        <w:t xml:space="preserve">а сума </w:t>
      </w:r>
      <w:r>
        <w:rPr>
          <w:rFonts w:ascii="Times New Roman" w:eastAsia="Times New Roman" w:hAnsi="Times New Roman" w:cs="Times New Roman"/>
          <w:sz w:val="25"/>
          <w:szCs w:val="25"/>
          <w:lang w:val="uk-UA"/>
        </w:rPr>
        <w:t xml:space="preserve">в </w:t>
      </w:r>
      <w:proofErr w:type="spellStart"/>
      <w:r w:rsidR="0052548E">
        <w:rPr>
          <w:rFonts w:ascii="Times New Roman" w:eastAsia="Times New Roman" w:hAnsi="Times New Roman" w:cs="Times New Roman"/>
          <w:sz w:val="25"/>
          <w:szCs w:val="25"/>
        </w:rPr>
        <w:t>гривн</w:t>
      </w:r>
      <w:r>
        <w:rPr>
          <w:rFonts w:ascii="Times New Roman" w:eastAsia="Times New Roman" w:hAnsi="Times New Roman" w:cs="Times New Roman"/>
          <w:sz w:val="25"/>
          <w:szCs w:val="25"/>
          <w:lang w:val="uk-UA"/>
        </w:rPr>
        <w:t>ях</w:t>
      </w:r>
      <w:proofErr w:type="spellEnd"/>
      <w:r w:rsidR="0052548E">
        <w:rPr>
          <w:rFonts w:ascii="Times New Roman" w:eastAsia="Times New Roman" w:hAnsi="Times New Roman" w:cs="Times New Roman"/>
          <w:color w:val="000000"/>
          <w:sz w:val="25"/>
          <w:szCs w:val="25"/>
        </w:rPr>
        <w:t xml:space="preserve"> зменшил</w:t>
      </w:r>
      <w:r w:rsidR="0052548E">
        <w:rPr>
          <w:rFonts w:ascii="Times New Roman" w:eastAsia="Times New Roman" w:hAnsi="Times New Roman" w:cs="Times New Roman"/>
          <w:sz w:val="25"/>
          <w:szCs w:val="25"/>
        </w:rPr>
        <w:t>а</w:t>
      </w:r>
      <w:r w:rsidR="0052548E">
        <w:rPr>
          <w:rFonts w:ascii="Times New Roman" w:eastAsia="Times New Roman" w:hAnsi="Times New Roman" w:cs="Times New Roman"/>
          <w:color w:val="000000"/>
          <w:sz w:val="25"/>
          <w:szCs w:val="25"/>
        </w:rPr>
        <w:t>с</w:t>
      </w:r>
      <w:r w:rsidR="0052548E">
        <w:rPr>
          <w:rFonts w:ascii="Times New Roman" w:eastAsia="Times New Roman" w:hAnsi="Times New Roman" w:cs="Times New Roman"/>
          <w:sz w:val="25"/>
          <w:szCs w:val="25"/>
        </w:rPr>
        <w:t>ь</w:t>
      </w:r>
      <w:r w:rsidR="0052548E">
        <w:rPr>
          <w:rFonts w:ascii="Times New Roman" w:eastAsia="Times New Roman" w:hAnsi="Times New Roman" w:cs="Times New Roman"/>
          <w:color w:val="000000"/>
          <w:sz w:val="25"/>
          <w:szCs w:val="25"/>
        </w:rPr>
        <w:t xml:space="preserve"> на 10 425.</w:t>
      </w:r>
    </w:p>
    <w:p w:rsidR="00F025FB" w:rsidRDefault="0052548E">
      <w:pPr>
        <w:numPr>
          <w:ilvl w:val="0"/>
          <w:numId w:val="3"/>
        </w:numP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у 2016 році для здійснення видатків на проживання та закриття базових потреб кандидата та членів його сім’ї з урахуванням задекларованих доходів, розміру збільшених заощаджень на кінець звітного періоду та видатків на погашення фінансових зобов’язань залишилось 103 758 грн (без урахування сум сплачених податків).</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Відповідно до інформації Державної служби статистики, розміщеної на порталі відкритих даних, витрати населення в розрахунку на одну особу у 2016 році у Львівській області становили 46 719 грн, що в перерахунку на чотирьох осіб (кандидат, його дружина та двоє дітей) становить 186 876 грн.</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орієнтовні витрати родини кандидата згідно з інформацією Державної служби статистики, розміщеної на порталі відкритих даних, у 2016 році мали станови</w:t>
      </w:r>
      <w:r>
        <w:rPr>
          <w:rFonts w:ascii="Times New Roman" w:eastAsia="Times New Roman" w:hAnsi="Times New Roman" w:cs="Times New Roman"/>
          <w:sz w:val="25"/>
          <w:szCs w:val="25"/>
        </w:rPr>
        <w:t>т</w:t>
      </w:r>
      <w:r>
        <w:rPr>
          <w:rFonts w:ascii="Times New Roman" w:eastAsia="Times New Roman" w:hAnsi="Times New Roman" w:cs="Times New Roman"/>
          <w:color w:val="000000"/>
          <w:sz w:val="25"/>
          <w:szCs w:val="25"/>
        </w:rPr>
        <w:t xml:space="preserve">и 186 876 грн, натомість задекларований неоподаткований дохід </w:t>
      </w:r>
      <w:r w:rsidR="002E21AC">
        <w:rPr>
          <w:rFonts w:ascii="Times New Roman" w:eastAsia="Times New Roman" w:hAnsi="Times New Roman" w:cs="Times New Roman"/>
          <w:color w:val="000000"/>
          <w:sz w:val="25"/>
          <w:szCs w:val="25"/>
          <w:lang w:val="uk-UA"/>
        </w:rPr>
        <w:t>становив</w:t>
      </w:r>
      <w:r>
        <w:rPr>
          <w:rFonts w:ascii="Times New Roman" w:eastAsia="Times New Roman" w:hAnsi="Times New Roman" w:cs="Times New Roman"/>
          <w:color w:val="000000"/>
          <w:sz w:val="25"/>
          <w:szCs w:val="25"/>
        </w:rPr>
        <w:t xml:space="preserve"> всього 103 758 грн.</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З наведеного висновується, що у 2016 році </w:t>
      </w:r>
      <w:r>
        <w:rPr>
          <w:rFonts w:ascii="Times New Roman" w:eastAsia="Times New Roman" w:hAnsi="Times New Roman" w:cs="Times New Roman"/>
          <w:sz w:val="25"/>
          <w:szCs w:val="25"/>
        </w:rPr>
        <w:t xml:space="preserve">витрати </w:t>
      </w:r>
      <w:r>
        <w:rPr>
          <w:rFonts w:ascii="Times New Roman" w:eastAsia="Times New Roman" w:hAnsi="Times New Roman" w:cs="Times New Roman"/>
          <w:color w:val="000000"/>
          <w:sz w:val="25"/>
          <w:szCs w:val="25"/>
        </w:rPr>
        <w:t xml:space="preserve">родини кандидата не співвідносились із середнім орієнтовним рівнем витрат населення у Львівській області відповідно до даних Державної служби статистики.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Тому задекларовані кандидатом доходи </w:t>
      </w:r>
      <w:r w:rsidR="00F477BE">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2016 році у поєднанні з рівнем витрат його родини, необхідних для забезпечення потреб життєдіяльності, викликають обґрунтовані сумніви в достовірності поданої інформації. Така невідповідність породжує ризик існування прихованих доходів або інших джерел фінансування, невідображених у деклараціях.</w:t>
      </w:r>
    </w:p>
    <w:p w:rsidR="00F025FB" w:rsidRDefault="00F477B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lang w:val="uk-UA"/>
        </w:rPr>
        <w:t>НАЗК</w:t>
      </w:r>
      <w:r w:rsidR="0052548E">
        <w:rPr>
          <w:rFonts w:ascii="Times New Roman" w:eastAsia="Times New Roman" w:hAnsi="Times New Roman" w:cs="Times New Roman"/>
          <w:color w:val="000000"/>
          <w:sz w:val="25"/>
          <w:szCs w:val="25"/>
        </w:rPr>
        <w:t xml:space="preserve"> виснувало: якщо Національним агентством попередньо не встановлено фактів порушення антикорупційного законодавства, це не є перешкодою для інших органів встановити такі факти у межах здійснюваних ними процедур. Чинним законодавством передбачено повноваження інших суб’єктів публічного права щодо перевірки факту подання кандидатами на відповідну посаду судді декларацій та відомостей, що містяться в них (пункт 1.2 Роз’яснення № 9 від 01 жовтня 2021 року, далі – Роз’яснення № 9).</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Водночас </w:t>
      </w:r>
      <w:r w:rsidR="00F477BE">
        <w:rPr>
          <w:rFonts w:ascii="Times New Roman" w:eastAsia="Times New Roman" w:hAnsi="Times New Roman" w:cs="Times New Roman"/>
          <w:color w:val="000000"/>
          <w:sz w:val="25"/>
          <w:szCs w:val="25"/>
          <w:lang w:val="uk-UA"/>
        </w:rPr>
        <w:t>НАЗК</w:t>
      </w:r>
      <w:r>
        <w:rPr>
          <w:rFonts w:ascii="Times New Roman" w:eastAsia="Times New Roman" w:hAnsi="Times New Roman" w:cs="Times New Roman"/>
          <w:color w:val="000000"/>
          <w:sz w:val="25"/>
          <w:szCs w:val="25"/>
        </w:rPr>
        <w:t xml:space="preserve"> окремо наголошує, що висновки, у яких не зафіксовано факту порушення особою вимог, заборон чи обмежень, встановлених законом, можуть враховуватись суб’єктами, які проводять відповідні процедури, за умови, якщо у таких суб’єктів (органів, комісій тощо) відсутні додаткові відомості та/або документи, які не були предметом аналізу під час підготовки Національним агентством зазначених висновків.</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lastRenderedPageBreak/>
        <w:t>Вказана позиція також підтверджується рішенням Великої Палати Верховного Суду від 27 лютого 2025 року у справі № 990/99/24 щодо оскарження рішення Комісії. Верховний Суд виснував, що у межах процедури оцінювання кандидата на посаду судді не реалізуються повноваження антикорупційного чи правоохоронного органу, не здійснюється перевірка висновків цих органів, однак Комісією надається їм оцінка в контексті здійснення своїх повноважень щодо перевірки відповідності кандидата вимогам і стандартам професійної етики та доброчесності в сукупності з іншою інформацією, яка є в суддівському досьє, та поясненнями кандидата на посаду судді з приводу такої інформації.</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підкреслює, що підтримання високих стандартів поведінки вимагає від кандидата на посаду судді неухильного дотримання закону та відповідального ставлення до декларування.</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У діях судді, який має бути прикладом дотримання закону та моральних стандартів, навіть поодинокі прояви непрозорості у фінансових питаннях здатні підірвати суспільну довіру до судової влади загалом та, </w:t>
      </w:r>
      <w:r w:rsidRPr="002E21AC">
        <w:rPr>
          <w:rFonts w:ascii="Times New Roman" w:eastAsia="Times New Roman" w:hAnsi="Times New Roman" w:cs="Times New Roman"/>
          <w:sz w:val="25"/>
          <w:szCs w:val="25"/>
        </w:rPr>
        <w:t>на думку поінформованого стороннього спостерігача, шкодити авторитету правосуддя</w:t>
      </w:r>
      <w:r>
        <w:rPr>
          <w:rFonts w:ascii="Times New Roman" w:eastAsia="Times New Roman" w:hAnsi="Times New Roman" w:cs="Times New Roman"/>
          <w:color w:val="000000"/>
          <w:sz w:val="25"/>
          <w:szCs w:val="25"/>
        </w:rPr>
        <w:t xml:space="preserve">.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sz w:val="25"/>
          <w:szCs w:val="25"/>
        </w:rPr>
        <w:t xml:space="preserve">За таких обставин Комісія визнає зазначені обставини суттєвими, що є підставою для зниження кількості балів за критеріями доброчесності та професійної етики на 15 балів за показником </w:t>
      </w:r>
      <w:r>
        <w:rPr>
          <w:rFonts w:ascii="Times New Roman" w:eastAsia="Times New Roman" w:hAnsi="Times New Roman" w:cs="Times New Roman"/>
          <w:color w:val="1D1D1B"/>
          <w:sz w:val="25"/>
          <w:szCs w:val="25"/>
        </w:rPr>
        <w:t>«Дотримання етичних норм і бездоганна поведінка у професійній діяльності та особистому житті»</w:t>
      </w:r>
      <w:r>
        <w:rPr>
          <w:rFonts w:ascii="Times New Roman" w:eastAsia="Times New Roman" w:hAnsi="Times New Roman" w:cs="Times New Roman"/>
          <w:color w:val="000000"/>
          <w:sz w:val="25"/>
          <w:szCs w:val="25"/>
        </w:rPr>
        <w:t>.</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sidRPr="00AD72B6">
        <w:rPr>
          <w:rFonts w:ascii="Times New Roman" w:eastAsia="Times New Roman" w:hAnsi="Times New Roman" w:cs="Times New Roman"/>
          <w:color w:val="000000"/>
          <w:spacing w:val="6"/>
          <w:sz w:val="25"/>
          <w:szCs w:val="25"/>
        </w:rPr>
        <w:t>Окрім зазначеного, відповідно до майнових декларацій кандидата за</w:t>
      </w:r>
      <w:r>
        <w:rPr>
          <w:rFonts w:ascii="Times New Roman" w:eastAsia="Times New Roman" w:hAnsi="Times New Roman" w:cs="Times New Roman"/>
          <w:color w:val="000000"/>
          <w:sz w:val="25"/>
          <w:szCs w:val="25"/>
        </w:rPr>
        <w:t xml:space="preserve"> 2015</w:t>
      </w:r>
      <w:r w:rsidR="00F477BE">
        <w:rPr>
          <w:rFonts w:ascii="Times New Roman" w:eastAsia="Times New Roman" w:hAnsi="Times New Roman" w:cs="Times New Roman"/>
          <w:color w:val="000000"/>
          <w:sz w:val="25"/>
          <w:szCs w:val="25"/>
        </w:rPr>
        <w:t>–</w:t>
      </w:r>
      <w:r>
        <w:rPr>
          <w:rFonts w:ascii="Times New Roman" w:eastAsia="Times New Roman" w:hAnsi="Times New Roman" w:cs="Times New Roman"/>
          <w:color w:val="000000"/>
          <w:sz w:val="25"/>
          <w:szCs w:val="25"/>
        </w:rPr>
        <w:t xml:space="preserve">2020 роки у його безоплатному користуванні з 17 жовтня 2015 року перебував легковий автомобіль </w:t>
      </w:r>
      <w:proofErr w:type="spellStart"/>
      <w:r>
        <w:rPr>
          <w:rFonts w:ascii="Times New Roman" w:eastAsia="Times New Roman" w:hAnsi="Times New Roman" w:cs="Times New Roman"/>
          <w:color w:val="000000"/>
          <w:sz w:val="25"/>
          <w:szCs w:val="25"/>
        </w:rPr>
        <w:t>Ssang</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Yong</w:t>
      </w:r>
      <w:proofErr w:type="spellEnd"/>
      <w:r>
        <w:rPr>
          <w:rFonts w:ascii="Times New Roman" w:eastAsia="Times New Roman" w:hAnsi="Times New Roman" w:cs="Times New Roman"/>
          <w:color w:val="000000"/>
          <w:sz w:val="25"/>
          <w:szCs w:val="25"/>
        </w:rPr>
        <w:t xml:space="preserve"> </w:t>
      </w:r>
      <w:proofErr w:type="spellStart"/>
      <w:r>
        <w:rPr>
          <w:rFonts w:ascii="Times New Roman" w:eastAsia="Times New Roman" w:hAnsi="Times New Roman" w:cs="Times New Roman"/>
          <w:color w:val="000000"/>
          <w:sz w:val="25"/>
          <w:szCs w:val="25"/>
        </w:rPr>
        <w:t>Kyron</w:t>
      </w:r>
      <w:proofErr w:type="spellEnd"/>
      <w:r>
        <w:rPr>
          <w:rFonts w:ascii="Times New Roman" w:eastAsia="Times New Roman" w:hAnsi="Times New Roman" w:cs="Times New Roman"/>
          <w:color w:val="000000"/>
          <w:sz w:val="25"/>
          <w:szCs w:val="25"/>
        </w:rPr>
        <w:t xml:space="preserve"> 2008 року випуску, власником якого зазначено мати кандидата.</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Кандидат пояснив, що його мати з 1996 року і </w:t>
      </w:r>
      <w:r w:rsidR="00F477BE">
        <w:rPr>
          <w:rFonts w:ascii="Times New Roman" w:eastAsia="Times New Roman" w:hAnsi="Times New Roman" w:cs="Times New Roman"/>
          <w:color w:val="000000"/>
          <w:sz w:val="25"/>
          <w:szCs w:val="25"/>
          <w:lang w:val="uk-UA"/>
        </w:rPr>
        <w:t>дотепер</w:t>
      </w:r>
      <w:r>
        <w:rPr>
          <w:rFonts w:ascii="Times New Roman" w:eastAsia="Times New Roman" w:hAnsi="Times New Roman" w:cs="Times New Roman"/>
          <w:color w:val="000000"/>
          <w:sz w:val="25"/>
          <w:szCs w:val="25"/>
        </w:rPr>
        <w:t xml:space="preserve"> постійно проживає в місті Прага</w:t>
      </w:r>
      <w:r w:rsidR="00F477BE">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w:t>
      </w:r>
      <w:r w:rsidR="00F477BE">
        <w:rPr>
          <w:rFonts w:ascii="Times New Roman" w:eastAsia="Times New Roman" w:hAnsi="Times New Roman" w:cs="Times New Roman"/>
          <w:color w:val="000000"/>
          <w:sz w:val="25"/>
          <w:szCs w:val="25"/>
          <w:lang w:val="uk-UA"/>
        </w:rPr>
        <w:t>Р</w:t>
      </w:r>
      <w:r>
        <w:rPr>
          <w:rFonts w:ascii="Times New Roman" w:eastAsia="Times New Roman" w:hAnsi="Times New Roman" w:cs="Times New Roman"/>
          <w:color w:val="000000"/>
          <w:sz w:val="25"/>
          <w:szCs w:val="25"/>
        </w:rPr>
        <w:t>еспублік</w:t>
      </w:r>
      <w:r w:rsidR="00F477BE">
        <w:rPr>
          <w:rFonts w:ascii="Times New Roman" w:eastAsia="Times New Roman" w:hAnsi="Times New Roman" w:cs="Times New Roman"/>
          <w:color w:val="000000"/>
          <w:sz w:val="25"/>
          <w:szCs w:val="25"/>
          <w:lang w:val="uk-UA"/>
        </w:rPr>
        <w:t>а</w:t>
      </w:r>
      <w:r>
        <w:rPr>
          <w:rFonts w:ascii="Times New Roman" w:eastAsia="Times New Roman" w:hAnsi="Times New Roman" w:cs="Times New Roman"/>
          <w:color w:val="000000"/>
          <w:sz w:val="25"/>
          <w:szCs w:val="25"/>
        </w:rPr>
        <w:t xml:space="preserve"> Чехія, де офіційно працевлаштована і отримує значні доходи, а вказаний автомобіль вона придбала </w:t>
      </w:r>
      <w:r w:rsidR="00F477BE">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чоловіка її рідної сестри після призначення кандидата на посаду судді з метою забезпечення можливості дістатися до місця роботи.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Водночас на відповідні запитання членів Комісії під час співбесіди кандидат не зміг повідомити жодних відомостей як про вартість транспортного засобу на момент набуття його матір’ю права власності</w:t>
      </w:r>
      <w:r w:rsidR="00F477BE">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rPr>
        <w:t xml:space="preserve"> так і на момент його відчуження, посилаючись на відмову його матері в наданні такої інформації.</w:t>
      </w:r>
    </w:p>
    <w:p w:rsidR="00F025FB" w:rsidRDefault="00F477B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lang w:val="uk-UA"/>
        </w:rPr>
        <w:t>Водночас</w:t>
      </w:r>
      <w:r w:rsidR="0052548E">
        <w:rPr>
          <w:rFonts w:ascii="Times New Roman" w:eastAsia="Times New Roman" w:hAnsi="Times New Roman" w:cs="Times New Roman"/>
          <w:color w:val="000000"/>
          <w:sz w:val="25"/>
          <w:szCs w:val="25"/>
        </w:rPr>
        <w:t xml:space="preserve"> Комісією встановлено таке.</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Відповідно до відомостей суддівського досьє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А.Б. мати кандидата на момент набуття права власності на вказаний транспортний засіб (17 жовтня 2015 року) перебувала за кордоном. Крім того, на момент відчуження зазначеного транспортного засобу (16 січня 2021 року) відповідно до відомостей Державної прикордонної служби України мати кандидата також не перебувала на території України.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Комісія критично сприймає пояснення кандидата щодо необізнаності у вартості транспортного засобу та </w:t>
      </w:r>
      <w:r w:rsidRPr="00F477BE">
        <w:rPr>
          <w:rFonts w:ascii="Times New Roman" w:eastAsia="Times New Roman" w:hAnsi="Times New Roman" w:cs="Times New Roman"/>
          <w:color w:val="1D1D1B"/>
          <w:sz w:val="25"/>
          <w:szCs w:val="25"/>
          <w:lang w:val="uk-UA"/>
        </w:rPr>
        <w:t>ненаданн</w:t>
      </w:r>
      <w:r w:rsidR="00F477BE" w:rsidRPr="00F477BE">
        <w:rPr>
          <w:rFonts w:ascii="Times New Roman" w:eastAsia="Times New Roman" w:hAnsi="Times New Roman" w:cs="Times New Roman"/>
          <w:color w:val="1D1D1B"/>
          <w:sz w:val="25"/>
          <w:szCs w:val="25"/>
          <w:lang w:val="uk-UA"/>
        </w:rPr>
        <w:t>і</w:t>
      </w:r>
      <w:r>
        <w:rPr>
          <w:rFonts w:ascii="Times New Roman" w:eastAsia="Times New Roman" w:hAnsi="Times New Roman" w:cs="Times New Roman"/>
          <w:color w:val="1D1D1B"/>
          <w:sz w:val="25"/>
          <w:szCs w:val="25"/>
        </w:rPr>
        <w:t xml:space="preserve"> його матір’ю відомостей про сам факт купівлі транспортного засобу та його вартості, зокрема</w:t>
      </w:r>
      <w:r w:rsidR="00F477BE">
        <w:rPr>
          <w:rFonts w:ascii="Times New Roman" w:eastAsia="Times New Roman" w:hAnsi="Times New Roman" w:cs="Times New Roman"/>
          <w:color w:val="1D1D1B"/>
          <w:sz w:val="25"/>
          <w:szCs w:val="25"/>
          <w:lang w:val="uk-UA"/>
        </w:rPr>
        <w:t>,</w:t>
      </w:r>
      <w:r>
        <w:rPr>
          <w:rFonts w:ascii="Times New Roman" w:eastAsia="Times New Roman" w:hAnsi="Times New Roman" w:cs="Times New Roman"/>
          <w:color w:val="1D1D1B"/>
          <w:sz w:val="25"/>
          <w:szCs w:val="25"/>
        </w:rPr>
        <w:t xml:space="preserve"> з огляду на те, що кандидату добре відома особа продавця вказаного транспортного засобу, який є чоловіком його рідної тітки. Водночас кандидатом не було вжито достатніх заходів для встановлення вартості придбаного його матір’ю транспортного засобу.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Кандидат не вжив розумних заходів з метою отримання інформації щодо джерел походження коштів, використаних</w:t>
      </w:r>
      <w:r w:rsidR="00F477BE">
        <w:rPr>
          <w:rFonts w:ascii="Times New Roman" w:eastAsia="Times New Roman" w:hAnsi="Times New Roman" w:cs="Times New Roman"/>
          <w:color w:val="1D1D1B"/>
          <w:sz w:val="25"/>
          <w:szCs w:val="25"/>
          <w:lang w:val="uk-UA"/>
        </w:rPr>
        <w:t xml:space="preserve"> на</w:t>
      </w:r>
      <w:r>
        <w:rPr>
          <w:rFonts w:ascii="Times New Roman" w:eastAsia="Times New Roman" w:hAnsi="Times New Roman" w:cs="Times New Roman"/>
          <w:color w:val="1D1D1B"/>
          <w:sz w:val="25"/>
          <w:szCs w:val="25"/>
        </w:rPr>
        <w:t xml:space="preserve"> придбання його матір’ю зазначеного транспортного засобу, та способу, у який нею було вчинено реєстраційні дії </w:t>
      </w:r>
      <w:proofErr w:type="spellStart"/>
      <w:r>
        <w:rPr>
          <w:rFonts w:ascii="Times New Roman" w:eastAsia="Times New Roman" w:hAnsi="Times New Roman" w:cs="Times New Roman"/>
          <w:color w:val="1D1D1B"/>
          <w:sz w:val="25"/>
          <w:szCs w:val="25"/>
        </w:rPr>
        <w:t>шодо</w:t>
      </w:r>
      <w:proofErr w:type="spellEnd"/>
      <w:r>
        <w:rPr>
          <w:rFonts w:ascii="Times New Roman" w:eastAsia="Times New Roman" w:hAnsi="Times New Roman" w:cs="Times New Roman"/>
          <w:color w:val="1D1D1B"/>
          <w:sz w:val="25"/>
          <w:szCs w:val="25"/>
        </w:rPr>
        <w:t xml:space="preserve"> переоформлення автомобіля на території України під час її перебування за кордоном.</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Як вже відзначала Комісія у своїх рішеннях, метою і завданням кваліфікаційного оцінювання може охоплюватись не тільки дослідження законності </w:t>
      </w:r>
      <w:r>
        <w:rPr>
          <w:rFonts w:ascii="Times New Roman" w:eastAsia="Times New Roman" w:hAnsi="Times New Roman" w:cs="Times New Roman"/>
          <w:color w:val="000000"/>
          <w:sz w:val="25"/>
          <w:szCs w:val="25"/>
        </w:rPr>
        <w:lastRenderedPageBreak/>
        <w:t>походження активів кандидатів на посаду судді (судді) та членів його сім’ї, але і його близьких осіб. Це питання особливо гостро постає перед Комісією, якщо існує «майновий зв’язок» між кандидатом на посаду судді (суддею) та близькою особою чи членом сім’ї. Наприклад, активи, набуті близькою особою кандидата на посаду судді (судді), надалі безоплатно передаються у власність чи користування кандидату на посаду судді (судді) або членам його сім’ї.</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Вирішуючи це питання, Комісія виходить із того, що неврахування обставин набуття у власність близькими особами активів, які надалі були безоплатно передані у власність чи користування кандидату на посаду судді чи членам його сім’ї, зробить ілюзорною саму процедуру кваліфікаційного оцінювання. </w:t>
      </w:r>
      <w:r w:rsidR="00F477BE">
        <w:rPr>
          <w:rFonts w:ascii="Times New Roman" w:eastAsia="Times New Roman" w:hAnsi="Times New Roman" w:cs="Times New Roman"/>
          <w:color w:val="1D1D1B"/>
          <w:sz w:val="25"/>
          <w:szCs w:val="25"/>
          <w:lang w:val="uk-UA"/>
        </w:rPr>
        <w:t>До того ж</w:t>
      </w:r>
      <w:r>
        <w:rPr>
          <w:rFonts w:ascii="Times New Roman" w:eastAsia="Times New Roman" w:hAnsi="Times New Roman" w:cs="Times New Roman"/>
          <w:color w:val="1D1D1B"/>
          <w:sz w:val="25"/>
          <w:szCs w:val="25"/>
        </w:rPr>
        <w:t>, це свідчитиме про неналежне дослідження Комісією відомостей, що містяться в досьє кандидата на посаду судді.</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На переконання Комісії, безоплатно набуваючи у власність чи користування актив, кандидат на посаду судді (суддя) має бути готовим вжити додаткових розумних заходів для з’ясування законності джерел походження коштів, використаних дарувальником (надавачем майна в користування) для придбання майна. Така потреба, серед іншого, зумовлена необхідністю унеможливити саме припущення того, що кандидат на посаду судді, який вже є суддею, може використовувати механізм набуття активів через близьких осіб як спосіб «легалізації» володіння таким активом.</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Пунктом 4.7. </w:t>
      </w:r>
      <w:proofErr w:type="spellStart"/>
      <w:r>
        <w:rPr>
          <w:rFonts w:ascii="Times New Roman" w:eastAsia="Times New Roman" w:hAnsi="Times New Roman" w:cs="Times New Roman"/>
          <w:color w:val="1D1D1B"/>
          <w:sz w:val="25"/>
          <w:szCs w:val="25"/>
        </w:rPr>
        <w:t>Бангалорських</w:t>
      </w:r>
      <w:proofErr w:type="spellEnd"/>
      <w:r>
        <w:rPr>
          <w:rFonts w:ascii="Times New Roman" w:eastAsia="Times New Roman" w:hAnsi="Times New Roman" w:cs="Times New Roman"/>
          <w:color w:val="1D1D1B"/>
          <w:sz w:val="25"/>
          <w:szCs w:val="25"/>
        </w:rPr>
        <w:t xml:space="preserve"> принципів визначено, що суддя має бути обізнаний про свої особисті та матеріальні інтереси конфіденційного характеру та має вживати розумні заходи з метою отримання інформації про матеріальні інтереси членів своєї родини. </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У </w:t>
      </w:r>
      <w:proofErr w:type="spellStart"/>
      <w:r>
        <w:rPr>
          <w:rFonts w:ascii="Times New Roman" w:eastAsia="Times New Roman" w:hAnsi="Times New Roman" w:cs="Times New Roman"/>
          <w:color w:val="1D1D1B"/>
          <w:sz w:val="25"/>
          <w:szCs w:val="25"/>
        </w:rPr>
        <w:t>Бангалорських</w:t>
      </w:r>
      <w:proofErr w:type="spellEnd"/>
      <w:r>
        <w:rPr>
          <w:rFonts w:ascii="Times New Roman" w:eastAsia="Times New Roman" w:hAnsi="Times New Roman" w:cs="Times New Roman"/>
          <w:color w:val="1D1D1B"/>
          <w:sz w:val="25"/>
          <w:szCs w:val="25"/>
        </w:rPr>
        <w:t xml:space="preserve"> принципах також звертається увага на те, що постійна увага з боку суспільства покладає на суддю обов’язок прийняти низку обмежень, і, незважаючи на те, що пересічному громадянину ці обов’язки могли б здатися обтяжливими, суддя приймає їх добровільно та охоче. Поведінка судді має відповідати високому статусу його посади.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У зв’язку із наведеним Комісія у складі колегії одноголосно вирішила зменшити бали кандидата за критерієм професійної етики та доброчесності на 15 балів за показником «Сумлінність».</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Комісією також встановлено, що </w:t>
      </w:r>
      <w:r w:rsidR="00F477BE">
        <w:rPr>
          <w:rFonts w:ascii="Times New Roman" w:eastAsia="Times New Roman" w:hAnsi="Times New Roman" w:cs="Times New Roman"/>
          <w:color w:val="1D1D1B"/>
          <w:sz w:val="25"/>
          <w:szCs w:val="25"/>
          <w:lang w:val="uk-UA"/>
        </w:rPr>
        <w:t>в</w:t>
      </w:r>
      <w:r>
        <w:rPr>
          <w:rFonts w:ascii="Times New Roman" w:eastAsia="Times New Roman" w:hAnsi="Times New Roman" w:cs="Times New Roman"/>
          <w:color w:val="1D1D1B"/>
          <w:sz w:val="25"/>
          <w:szCs w:val="25"/>
        </w:rPr>
        <w:t xml:space="preserve"> майновій декларації за 2022 рік кандидатом відображено право безоплатного проживання зі згоди власника у квартирі площею 50,9 </w:t>
      </w:r>
      <w:proofErr w:type="spellStart"/>
      <w:r>
        <w:rPr>
          <w:rFonts w:ascii="Times New Roman" w:eastAsia="Times New Roman" w:hAnsi="Times New Roman" w:cs="Times New Roman"/>
          <w:color w:val="1D1D1B"/>
          <w:sz w:val="25"/>
          <w:szCs w:val="25"/>
        </w:rPr>
        <w:t>кв.м</w:t>
      </w:r>
      <w:proofErr w:type="spellEnd"/>
      <w:r>
        <w:rPr>
          <w:rFonts w:ascii="Times New Roman" w:eastAsia="Times New Roman" w:hAnsi="Times New Roman" w:cs="Times New Roman"/>
          <w:color w:val="1D1D1B"/>
          <w:sz w:val="25"/>
          <w:szCs w:val="25"/>
        </w:rPr>
        <w:t>, розташованій у селищі міського типу Верховині Верховинського району Івано-Франківської області. У майновій декларації за 2023 рік кандидатом відображено право на проживання у вказаній нерухомості зі згоди власника з понесенням витрат на утримання квартири у виді оплати комунальних послуг та проведення підтримуючого ремонту. І лише з 2024 року відображено право користування вказаною квартирою на праві оренди.</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Частиною першою статті 1 Закону України «Про запобігання корупції» передбачено, що подарунок – грошові кошти або інше майно, переваги, пільги, послуги, нематеріальні активи, які надають / одержують безоплатно або за ціною, нижчою мінімальної ринкової.</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Обмеження щодо одержання подарунків визначено статтею 23 вказаного закону, частинами першою та другою якої встановлено, що особам, зазначеним у пунктах 1, 2 частини першої статті 3 цього закону, забороняється безпосередньо або через інших осіб вимагати, просити, одержувати подарунки для себе чи близьких їм осіб від юридичних або фізичних осіб: 1) у зв’язку із здійсненням такими особами діяльності, пов’язаної із виконанням функцій держави або місцевого самоврядування; 2) якщо особа, яка дарує, перебуває в підпорядкуванні такої особи.</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lastRenderedPageBreak/>
        <w:t>Особи, зазначені в пунктах 1, 2 частини першої статті 3 вказаного вище закону, можуть приймати подарунки, які відповідають загальновизнаним уявленням про гостинність, крім випадків, передбачених частиною першою цієї статті, якщо вартість таких подарунків одноразово не перевищує двох прожиткових мінімумів для працездатних осіб, встановлених на день прийняття подарунка, а сукупна вартість таких подарунків, отриманих від однієї особи (групи осіб) протягом року, не перевищує чотирьох прожиткових мінімумів для працездатних осіб, встановлених на 1 січня року, в якому прийнято подарунки.</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Передбачене цією частиною обмеження щодо вартості подарунків не поширюється на подарунки, які, зокрема, даруються близькими особами.</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Ураховуючи зазначені обставини, Комісія доходить висновку про недостатність вказаних обставин для висновку про невідповідність чи обґрунтований сумнів у відповідності судді критерію доброчесності та професійної етики.</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Водночас Комісія зауважує, що тривале безоплатне право користування майном третіх осіб може, на думку незалежного стороннього спостерігача, негативно впливати на незалежність судді, його репутацію та авторитет правосуддя.</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Велика Палата Верховного Суду в пунктах 146, 159, 160 постанови від 20</w:t>
      </w:r>
      <w:r w:rsidR="00F477BE">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листопада 2025 року у справі № 990/148/24 вказала, що критерій доброчесності є надзвичайно важливим з огляду на те, яку роль відіграє судова влада у становленні правової держави. Саме доброчесність є ключовою категорією у формуванні морально-етичного образу суддів, запорукою формування довіри народу до суддів та судової влади в цілому.</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кандидат на посаду судді, як і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Від професійних та моральних якостей суддів залежить рівень здійснення правосуддя в державі, а тому особисті й моральні якості кандидата на посаду судді поряд із професійними якостями є визначальними характеристиками під час вирішення питання про призначення його на посаду.</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У постанові Великої Палати Верховного Суду від 14 листопада 2024 року у справі № 990/71/24 вказано, що підстави для сумнівів у відповідності кандидата критеріям доброчесності повинні бути об’єктивними, реальними, вагомими (істотними), дієвими і негативними настільки, щоб засумніватися у відповідності кандидата критерію доброчесності чи професійної етики, або містити в собі властивості (ознаки), які можуть негативно вплинути на суспільну довіру до судової влади у зв’язку з таким призначенням. Такими підставами можуть бути будь-які фактори, явища, події об’єктивної дійсності, що містять ознаки (властивості), які характеризують чи виділяють кандидата на посаду судді як постать, що не відповідає якимось певним «еталонним» критеріям доброчесності та професійної етики, яким повинен відповідати суддя як носій влади, або, інакше кажучи, неофіційній, ментальній, що ґрунтується на традиціях (звичаях), системі уявлень, норм та оцінок, що регулює поведінку людей у суспільстві, на колективно підсвідомому рівні схвалюється більшістю суспільства, практична реалізація якої забезпечується громадським осудом.</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Отже, Комісія має виключити наявність будь-яких сумнівних фактів щодо поведінки судді не лише з точки зору вимог законодавства, але й з метою зміцнення переконання суспільства у чесності, незалежності, неупередженості та справедливості суддівського корпусу та з огляду на необхідність того, щоб, на думку розсудливої, законослухняної та поінформованої людини, поведінка та репутація судді були бездоганними (постанова Великої Палати Верховного Суду від 19 травня 2021 року у справі № 9901/124/19).</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lastRenderedPageBreak/>
        <w:t>Відповідно до підпункту 1 пункту 17 Єдиних показників суддя (кандидат на посаду судді) відповідає цьому показнику, якщо він, зокрема, але не виключно перебуваючи в нинішньому або будь-якому попередньому статусі, діяв відповідно до правил професійної етики та інших етичних норм, не вчиняв будь-яких дій, що могли / можуть завдати шкоди авторитету правосуддя або відповідному органу, установі, організації.</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4"/>
          <w:szCs w:val="24"/>
        </w:rPr>
        <w:t>Комісія висновує, що систематичне безоплатне користування кандидатом нерухомим майном інших осіб, які не є членами сім’ї кандидата, саме по собі не свідчить про порушення принципу незалежності суддею, однак може, на думку поінформованого стороннього спостерігача, шкодити авторитету правосуддя.</w:t>
      </w:r>
    </w:p>
    <w:p w:rsidR="00F025FB" w:rsidRDefault="0052548E">
      <w:pPr>
        <w:numPr>
          <w:ilvl w:val="0"/>
          <w:numId w:val="3"/>
        </w:numPr>
        <w:shd w:val="clear" w:color="auto" w:fill="FFFFFF"/>
        <w:spacing w:after="0" w:line="240" w:lineRule="auto"/>
        <w:ind w:left="0" w:firstLine="708"/>
        <w:jc w:val="both"/>
        <w:rPr>
          <w:rFonts w:ascii="Times New Roman" w:eastAsia="Times New Roman" w:hAnsi="Times New Roman" w:cs="Times New Roman"/>
          <w:color w:val="1D1D1B"/>
          <w:sz w:val="24"/>
          <w:szCs w:val="24"/>
        </w:rPr>
      </w:pPr>
      <w:r>
        <w:rPr>
          <w:rFonts w:ascii="Times New Roman" w:eastAsia="Times New Roman" w:hAnsi="Times New Roman" w:cs="Times New Roman"/>
          <w:sz w:val="25"/>
          <w:szCs w:val="25"/>
        </w:rPr>
        <w:t xml:space="preserve">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w:t>
      </w:r>
      <w:r>
        <w:rPr>
          <w:rFonts w:ascii="Times New Roman" w:eastAsia="Times New Roman" w:hAnsi="Times New Roman" w:cs="Times New Roman"/>
          <w:color w:val="1D1D1B"/>
          <w:sz w:val="25"/>
          <w:szCs w:val="25"/>
        </w:rPr>
        <w:t>«Дотримання етичних норм і бездоганна поведінка у професійній діяльності та особистому житті»</w:t>
      </w:r>
      <w:r>
        <w:rPr>
          <w:rFonts w:ascii="Times New Roman" w:eastAsia="Times New Roman" w:hAnsi="Times New Roman" w:cs="Times New Roman"/>
          <w:sz w:val="25"/>
          <w:szCs w:val="25"/>
        </w:rPr>
        <w:t>.</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Комісія також звертає увагу на надану ГРД інформацію щодо розгляду кандидатом справ про адміністративні правопорушення, передбачені статтею 130 КУпАП.</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Так, загальна кількість розглянутих кандидатом справ зазначеної категорії становить 347 справ. Водночас у 19 випадках провадження у справах були закриті у зв’язку із закінченням строків притягнення до адміністративної відповідальності, що становить 5,47 % від загальної кількості розглянутих справ вказаної категорії. Наслідком цього, на думку ГРД, стало фактичне уникнення відповідальності особами, щодо яких були складені протоколи про керування транспортними засобами у стані сп’яніння.</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rPr>
      </w:pPr>
      <w:r>
        <w:rPr>
          <w:rFonts w:ascii="Times New Roman" w:eastAsia="Times New Roman" w:hAnsi="Times New Roman" w:cs="Times New Roman"/>
          <w:color w:val="1D1D1B"/>
          <w:sz w:val="25"/>
          <w:szCs w:val="25"/>
        </w:rPr>
        <w:t xml:space="preserve">Кандидат під час співбесіди факти закриття справ зазначеної категорії пояснив надмірним навантаженням, </w:t>
      </w:r>
      <w:r w:rsidR="00F477BE">
        <w:rPr>
          <w:rFonts w:ascii="Times New Roman" w:eastAsia="Times New Roman" w:hAnsi="Times New Roman" w:cs="Times New Roman"/>
          <w:color w:val="1D1D1B"/>
          <w:sz w:val="25"/>
          <w:szCs w:val="25"/>
          <w:lang w:val="uk-UA"/>
        </w:rPr>
        <w:t>оскільки</w:t>
      </w:r>
      <w:r>
        <w:rPr>
          <w:rFonts w:ascii="Times New Roman" w:eastAsia="Times New Roman" w:hAnsi="Times New Roman" w:cs="Times New Roman"/>
          <w:color w:val="1D1D1B"/>
          <w:sz w:val="25"/>
          <w:szCs w:val="25"/>
        </w:rPr>
        <w:t xml:space="preserve"> деякий час здійснював правосуддя в Верховинському районному суді Івано-Франківської області одноособово, </w:t>
      </w:r>
      <w:r>
        <w:rPr>
          <w:rFonts w:ascii="Times New Roman" w:eastAsia="Times New Roman" w:hAnsi="Times New Roman" w:cs="Times New Roman"/>
          <w:color w:val="000000"/>
          <w:sz w:val="25"/>
          <w:szCs w:val="25"/>
        </w:rPr>
        <w:t>відсутністю доказів належного повідомлення особи, яка притягається до адміністративної відповідальності, про дату судового засідання, а також процесуальною поведінкою особи, яка притягається до адміністративної відповідальності</w:t>
      </w:r>
      <w:r>
        <w:rPr>
          <w:rFonts w:ascii="Times New Roman" w:eastAsia="Times New Roman" w:hAnsi="Times New Roman" w:cs="Times New Roman"/>
          <w:color w:val="1D1D1B"/>
          <w:sz w:val="25"/>
          <w:szCs w:val="25"/>
        </w:rPr>
        <w:t>.</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bookmarkStart w:id="6" w:name="_heading=h.gmghcotic50u" w:colFirst="0" w:colLast="0"/>
      <w:bookmarkEnd w:id="6"/>
      <w:r>
        <w:rPr>
          <w:rFonts w:ascii="Times New Roman" w:eastAsia="Times New Roman" w:hAnsi="Times New Roman" w:cs="Times New Roman"/>
          <w:color w:val="000000"/>
          <w:sz w:val="25"/>
          <w:szCs w:val="25"/>
        </w:rPr>
        <w:t>Водночас, як наголошує в рішеннях Європейський суд з прав людини, сторона, яка задіяна в ході судового розгляду, зобов’язана добросовісно користуватись належними їй процесуальними правами та неухильно виконувати процесуальні обов’язки. У рішенні «Пономарьов проти України» від 03 квітня 2008 року Європейський суд з прав людини наголосив, що «сторони в розумні інтервали часу мають вживати заходів, щоб дізнатись про стан відомого їм судового провадження».</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На думку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Не надаючи </w:t>
      </w:r>
      <w:r w:rsidR="00931FFD">
        <w:rPr>
          <w:rFonts w:ascii="Times New Roman" w:eastAsia="Times New Roman" w:hAnsi="Times New Roman" w:cs="Times New Roman"/>
          <w:color w:val="000000"/>
          <w:sz w:val="25"/>
          <w:szCs w:val="25"/>
        </w:rPr>
        <w:t>оцінки</w:t>
      </w:r>
      <w:bookmarkStart w:id="7" w:name="_GoBack"/>
      <w:bookmarkEnd w:id="7"/>
      <w:r>
        <w:rPr>
          <w:rFonts w:ascii="Times New Roman" w:eastAsia="Times New Roman" w:hAnsi="Times New Roman" w:cs="Times New Roman"/>
          <w:color w:val="000000"/>
          <w:sz w:val="25"/>
          <w:szCs w:val="25"/>
        </w:rPr>
        <w:t xml:space="preserve">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Комісія беззастережно підтримує положення Коментаря до Кодексу суддівської етики, затвердженого рішенням Ради суддів України від 04 лютого 2016 року </w:t>
      </w:r>
      <w:r>
        <w:rPr>
          <w:rFonts w:ascii="Times New Roman" w:eastAsia="Times New Roman" w:hAnsi="Times New Roman" w:cs="Times New Roman"/>
          <w:color w:val="000000"/>
          <w:sz w:val="25"/>
          <w:szCs w:val="25"/>
        </w:rPr>
        <w:lastRenderedPageBreak/>
        <w:t>№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наголошує, що мети юридичної відповідальності не буде досягнуто,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притягатимуться до адміністративної відповідальності через сплив строків накладення адміністративного стягнення.</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також звертає увагу, що суди здебільшого прагнуть враховувати пункт 24 постанови Пленуму Верховного Суду України від 23 грудня 2005 року № 14, відповідно до якого суди повинні неухильно виконувати вимоги статті 268 КУпАП щодо розгляду справи про адміністративне правопорушення у присутності особи, яка притягається до адміністративної відповідальності. Під час відсутності зазначеної особи це можливо лише у випадках, коли є дані про своєчасне її сповіщення про місце та час розгляду і якщо від неї не надійшло клопотання про його відкладення.</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За таких обставин суддя фактично поставлений перед вибором – забезпечити досягнення в таких випадках мети юридичної відповідальності за наявності для цього відповідних підстав чи порушити право особи на ефективну участь у процесі стосовно неї, яке, як правило, включає не тільки право бути присутнім, але й слухати та стежити за провадженням. Особа також повинна мати можливість, серед іншого, пояснити свою версію подій, вказати на будь-які заяви, з якими вона не згодна, та інформувати про будь-які факти, що повинні бути висунуті на її захист.</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Розглядаючи справи, де національні суди поставали перед подібним вибором, Європейський суд з прав людини в пункті 39 постанови у справі «KASTE AND MATHISEN v. NORWAY» (заяви № 18885/04, № 21166/04) відзначив: якби </w:t>
      </w:r>
      <w:proofErr w:type="spellStart"/>
      <w:r>
        <w:rPr>
          <w:rFonts w:ascii="Times New Roman" w:eastAsia="Times New Roman" w:hAnsi="Times New Roman" w:cs="Times New Roman"/>
          <w:color w:val="000000"/>
          <w:sz w:val="25"/>
          <w:szCs w:val="25"/>
        </w:rPr>
        <w:t>співобвинувачений</w:t>
      </w:r>
      <w:proofErr w:type="spellEnd"/>
      <w:r>
        <w:rPr>
          <w:rFonts w:ascii="Times New Roman" w:eastAsia="Times New Roman" w:hAnsi="Times New Roman" w:cs="Times New Roman"/>
          <w:color w:val="000000"/>
          <w:sz w:val="25"/>
          <w:szCs w:val="25"/>
        </w:rPr>
        <w:t xml:space="preserve"> міг би бути поставлений у положення, коли він або вона зможуть «заблокувати обвинувачення стосовно себе», не відповідаючи на запитання, то це могло б перешкодити дотриманню розумної вимоги щодо часу, що міститься в пункті 1 статті 6 Конвенції про захист прав людини і основоположних свобод. У зв’язку з цим Комісія додатково зазначає, що за усталеною практикою </w:t>
      </w:r>
      <w:proofErr w:type="spellStart"/>
      <w:r>
        <w:rPr>
          <w:rFonts w:ascii="Times New Roman" w:eastAsia="Times New Roman" w:hAnsi="Times New Roman" w:cs="Times New Roman"/>
          <w:color w:val="000000"/>
          <w:sz w:val="25"/>
          <w:szCs w:val="25"/>
        </w:rPr>
        <w:t>Страсбурського</w:t>
      </w:r>
      <w:proofErr w:type="spellEnd"/>
      <w:r>
        <w:rPr>
          <w:rFonts w:ascii="Times New Roman" w:eastAsia="Times New Roman" w:hAnsi="Times New Roman" w:cs="Times New Roman"/>
          <w:color w:val="000000"/>
          <w:sz w:val="25"/>
          <w:szCs w:val="25"/>
        </w:rPr>
        <w:t xml:space="preserve"> суду вирішальним є те, чи свідчать факти справи однозначно про те, що заявник був достатньо обізнаний про можливість здійснення прав, гарантованих Конвенцією, у контексті конкретного провадження, порушеного проти нього, і чи може він вважатись таким, що відмовився від свого права з’являтися в суді (пункт 32 постанови у справі «STOYANOV v. BULGARIA», заява № 39206/07).</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Комісія наголошує, що положення статті 256 КУпАП дають достатні підстави для твердження про те, що особа, яка притягається до адміністративної відповідальності, з моменту складання протоколу про адміністративне правопорушення є обізнаною про можливість здійснення прав, гарантованих КУпАП у контексті конкретного провадження, порушеного проти неї, та щодо самого провадження.</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Таким чином,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розгляду справи і за необхідності відкласти розгляд відповідної справи в межах строків накладення адміністративного стягнення, не допустивши при цьому «штучного блокування» досягнення мети адміністративної відповідальності (за наявності для цього підстав), забезпечивши у такий спосіб ефективне відправлення судочинства.</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Отже, неодноразові виклики особи, яка притягається до адміністративної відповідальності, з метою забезпечення її права «бути почутою» самі по собі не можуть і </w:t>
      </w:r>
      <w:r>
        <w:rPr>
          <w:rFonts w:ascii="Times New Roman" w:eastAsia="Times New Roman" w:hAnsi="Times New Roman" w:cs="Times New Roman"/>
          <w:color w:val="000000"/>
          <w:sz w:val="25"/>
          <w:szCs w:val="25"/>
        </w:rPr>
        <w:lastRenderedPageBreak/>
        <w:t>не повинні розглядатись як допущення неефективного відправлення судочинства. Однак  всі випадки, коли це призводить до звільнення особи від адміністративної відповідальності через сплив строків накладення адміністративного стягнення, мають бути оцінені Комісією під час встановлення відповідності судді критерію професійної етики з огляду на системність таких дій судді, навантаження судді, наявність фінансової та технічної можливості суду забезпечити повідомлення особи про дату, час та місце розгляду справи, а також на процесуальну поведінку особи, яка притягається до адміністративної відповідальності (або її представника).</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Не можна вважати допустимим порушення таких строків через зайнятість та відпустки судді, призначення судових засідань із великими інтервалами, затягування з передачею справи з одного суду до іншого у встановлених законом випадках, невжиття заходів з метою забезпечення належного повідомлення осіб, що спричинило відкладення розгляду справи на тривалий час, невжиття заходів щодо недопущення недобросовісної процесуальної поведінки учасників справи тощо, оскільки наведені причини свідчать про низький рівень організації судочинства та безвідповідальне ставлення до виконання своїх обов’язків.</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Комісією проаналізовано підстави закриття провадження в зазначених вище справах і встановлено, що справи надходили до суду у строки, достатні для організації забезпечення їх розгляду по суті. Водночас достатніх заходів щодо забезпечення належного повідомлення осіб про розгляд справи кандидатом у розумні строки забезпечено не було.</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Отже, формальні та ненаполегливі дії судді щодо розгляду справ про адміністративні правопорушення, передбачені статтею 130 КУпАП, призвели до звільнення осіб від відповідальності.</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F025FB" w:rsidRDefault="0052548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240 балів, тому Комісія виснує, що кандидат відповідає критеріям доброчесності та професійної етики.</w:t>
      </w:r>
    </w:p>
    <w:p w:rsidR="00F025FB" w:rsidRDefault="00F025FB">
      <w:pPr>
        <w:shd w:val="clear" w:color="auto" w:fill="FFFFFF"/>
        <w:spacing w:after="0" w:line="240" w:lineRule="auto"/>
        <w:ind w:left="709"/>
        <w:jc w:val="both"/>
        <w:rPr>
          <w:rFonts w:ascii="Times New Roman" w:eastAsia="Times New Roman" w:hAnsi="Times New Roman" w:cs="Times New Roman"/>
          <w:b/>
          <w:bCs/>
          <w:color w:val="000000"/>
          <w:sz w:val="25"/>
          <w:szCs w:val="25"/>
        </w:rPr>
      </w:pPr>
    </w:p>
    <w:p w:rsidR="00F025FB" w:rsidRDefault="0052548E" w:rsidP="00BB223A">
      <w:pPr>
        <w:shd w:val="clear" w:color="auto" w:fill="FFFFFF"/>
        <w:spacing w:after="200"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F025FB">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РЕЗУЛЬТАТ </w:t>
            </w:r>
            <w:r>
              <w:rPr>
                <w:rFonts w:ascii="Times New Roman" w:eastAsia="Times New Roman" w:hAnsi="Times New Roman" w:cs="Times New Roman"/>
                <w:b/>
                <w:bCs/>
                <w:color w:val="000000"/>
                <w:sz w:val="25"/>
                <w:szCs w:val="25"/>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b/>
                <w:bCs/>
                <w:color w:val="000000"/>
                <w:sz w:val="25"/>
                <w:szCs w:val="25"/>
              </w:rPr>
              <w:t>РЕЗУЛЬТАТ </w:t>
            </w:r>
            <w:r>
              <w:rPr>
                <w:rFonts w:ascii="Times New Roman" w:eastAsia="Times New Roman" w:hAnsi="Times New Roman" w:cs="Times New Roman"/>
                <w:b/>
                <w:bCs/>
                <w:color w:val="000000"/>
                <w:sz w:val="25"/>
                <w:szCs w:val="25"/>
              </w:rPr>
              <w:br/>
              <w:t>(за критерієм)</w:t>
            </w:r>
          </w:p>
        </w:tc>
      </w:tr>
      <w:tr w:rsidR="00F025F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46,8</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367,30</w:t>
            </w: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149,00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131,50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21,00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41,00</w:t>
            </w: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20,00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Соціальна компетентність</w:t>
            </w:r>
          </w:p>
          <w:p w:rsidR="00F025FB" w:rsidRDefault="00F025FB">
            <w:pPr>
              <w:spacing w:after="0" w:line="240" w:lineRule="auto"/>
              <w:rPr>
                <w:rFonts w:ascii="Times New Roman" w:eastAsia="Times New Roman" w:hAnsi="Times New Roman" w:cs="Times New Roman"/>
                <w:sz w:val="25"/>
                <w:szCs w:val="25"/>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39,33</w:t>
            </w: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10,33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9,00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spacing w:after="0" w:line="240" w:lineRule="auto"/>
              <w:rPr>
                <w:rFonts w:ascii="Times New Roman" w:eastAsia="Times New Roman" w:hAnsi="Times New Roman" w:cs="Times New Roman"/>
                <w:sz w:val="25"/>
                <w:szCs w:val="25"/>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240</w:t>
            </w:r>
          </w:p>
          <w:p w:rsidR="00F025FB" w:rsidRDefault="00F025FB">
            <w:pPr>
              <w:spacing w:after="0" w:line="240"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F025FB" w:rsidRDefault="0052548E">
            <w:pPr>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F025FB">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F025FB">
        <w:trPr>
          <w:jc w:val="center"/>
        </w:trPr>
        <w:tc>
          <w:tcPr>
            <w:tcW w:w="2052" w:type="dxa"/>
            <w:tcBorders>
              <w:top w:val="single" w:sz="18" w:space="0" w:color="000000"/>
            </w:tcBorders>
            <w:tcMar>
              <w:top w:w="0" w:type="dxa"/>
              <w:left w:w="108" w:type="dxa"/>
              <w:bottom w:w="0" w:type="dxa"/>
              <w:right w:w="108" w:type="dxa"/>
            </w:tcMar>
          </w:tcPr>
          <w:p w:rsidR="00F025FB" w:rsidRDefault="00F025FB">
            <w:pPr>
              <w:spacing w:after="0" w:line="240" w:lineRule="auto"/>
              <w:rPr>
                <w:rFonts w:ascii="Times New Roman" w:eastAsia="Times New Roman" w:hAnsi="Times New Roman" w:cs="Times New Roman"/>
                <w:sz w:val="25"/>
                <w:szCs w:val="25"/>
              </w:rPr>
            </w:pPr>
          </w:p>
        </w:tc>
        <w:tc>
          <w:tcPr>
            <w:tcW w:w="3975" w:type="dxa"/>
            <w:tcBorders>
              <w:top w:val="single" w:sz="18" w:space="0" w:color="000000"/>
              <w:right w:val="single" w:sz="18" w:space="0" w:color="000000"/>
            </w:tcBorders>
            <w:tcMar>
              <w:top w:w="0" w:type="dxa"/>
              <w:left w:w="108" w:type="dxa"/>
              <w:bottom w:w="0" w:type="dxa"/>
              <w:right w:w="108" w:type="dxa"/>
            </w:tcMar>
          </w:tcPr>
          <w:p w:rsidR="00F025FB" w:rsidRDefault="00F025FB">
            <w:pPr>
              <w:spacing w:after="0" w:line="240" w:lineRule="auto"/>
              <w:rPr>
                <w:rFonts w:ascii="Times New Roman" w:eastAsia="Times New Roman" w:hAnsi="Times New Roman" w:cs="Times New Roman"/>
                <w:sz w:val="25"/>
                <w:szCs w:val="25"/>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F025FB" w:rsidRDefault="0052548E">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687,63</w:t>
            </w:r>
          </w:p>
        </w:tc>
      </w:tr>
    </w:tbl>
    <w:p w:rsidR="00F025FB" w:rsidRDefault="0052548E">
      <w:pPr>
        <w:numPr>
          <w:ilvl w:val="0"/>
          <w:numId w:val="3"/>
        </w:numPr>
        <w:pBdr>
          <w:top w:val="nil"/>
          <w:left w:val="nil"/>
          <w:bottom w:val="nil"/>
          <w:right w:val="nil"/>
          <w:between w:val="nil"/>
        </w:pBdr>
        <w:shd w:val="clear" w:color="auto" w:fill="FFFFFF"/>
        <w:spacing w:before="240" w:after="0" w:line="240" w:lineRule="auto"/>
        <w:ind w:left="0" w:firstLine="709"/>
        <w:jc w:val="both"/>
        <w:rPr>
          <w:rFonts w:ascii="Times New Roman" w:eastAsia="Times New Roman" w:hAnsi="Times New Roman" w:cs="Times New Roman"/>
          <w:color w:val="000000"/>
          <w:sz w:val="25"/>
          <w:szCs w:val="25"/>
        </w:rPr>
      </w:pPr>
      <w:bookmarkStart w:id="8" w:name="_heading=h.s23x8kebg04a" w:colFirst="0" w:colLast="0"/>
      <w:bookmarkEnd w:id="8"/>
      <w:r>
        <w:rPr>
          <w:rFonts w:ascii="Times New Roman" w:eastAsia="Times New Roman" w:hAnsi="Times New Roman" w:cs="Times New Roman"/>
          <w:color w:val="000000"/>
          <w:sz w:val="25"/>
          <w:szCs w:val="25"/>
        </w:rPr>
        <w:t xml:space="preserve">Таким чином, </w:t>
      </w:r>
      <w:proofErr w:type="spellStart"/>
      <w:r>
        <w:rPr>
          <w:rFonts w:ascii="Times New Roman" w:eastAsia="Times New Roman" w:hAnsi="Times New Roman" w:cs="Times New Roman"/>
          <w:color w:val="000000"/>
          <w:sz w:val="25"/>
          <w:szCs w:val="25"/>
        </w:rPr>
        <w:t>Бучинський</w:t>
      </w:r>
      <w:proofErr w:type="spellEnd"/>
      <w:r>
        <w:rPr>
          <w:rFonts w:ascii="Times New Roman" w:eastAsia="Times New Roman" w:hAnsi="Times New Roman" w:cs="Times New Roman"/>
          <w:color w:val="000000"/>
          <w:sz w:val="25"/>
          <w:szCs w:val="25"/>
        </w:rPr>
        <w:t xml:space="preserve"> А.Б. підтвердив здатність здійснювати правосуддя в апеляційному загальному суді за критеріями доброчесності та професійної етики.</w:t>
      </w:r>
    </w:p>
    <w:p w:rsidR="00F025FB" w:rsidRDefault="0052548E">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F025FB" w:rsidRDefault="00F025FB">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rPr>
      </w:pPr>
    </w:p>
    <w:p w:rsidR="00F025FB" w:rsidRDefault="0052548E">
      <w:pPr>
        <w:shd w:val="clear" w:color="auto" w:fill="FFFFFF"/>
        <w:spacing w:after="0" w:line="240" w:lineRule="auto"/>
        <w:jc w:val="center"/>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вирішила:</w:t>
      </w:r>
    </w:p>
    <w:p w:rsidR="00F025FB" w:rsidRDefault="00F025FB">
      <w:pPr>
        <w:shd w:val="clear" w:color="auto" w:fill="FFFFFF"/>
        <w:spacing w:after="0" w:line="240" w:lineRule="auto"/>
        <w:jc w:val="center"/>
        <w:rPr>
          <w:rFonts w:ascii="Times New Roman" w:eastAsia="Times New Roman" w:hAnsi="Times New Roman" w:cs="Times New Roman"/>
          <w:sz w:val="25"/>
          <w:szCs w:val="25"/>
        </w:rPr>
      </w:pPr>
    </w:p>
    <w:p w:rsidR="00F025FB" w:rsidRDefault="0052548E">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Pr>
          <w:rFonts w:ascii="Times New Roman" w:eastAsia="Times New Roman" w:hAnsi="Times New Roman" w:cs="Times New Roman"/>
          <w:color w:val="000000"/>
          <w:sz w:val="25"/>
          <w:szCs w:val="25"/>
        </w:rPr>
        <w:t>Бучинський</w:t>
      </w:r>
      <w:proofErr w:type="spellEnd"/>
      <w:r>
        <w:rPr>
          <w:rFonts w:ascii="Times New Roman" w:eastAsia="Times New Roman" w:hAnsi="Times New Roman" w:cs="Times New Roman"/>
          <w:color w:val="000000"/>
          <w:sz w:val="25"/>
          <w:szCs w:val="25"/>
        </w:rPr>
        <w:t xml:space="preserve"> Андрій Богданович набрав 687,63 </w:t>
      </w:r>
      <w:proofErr w:type="spellStart"/>
      <w:r>
        <w:rPr>
          <w:rFonts w:ascii="Times New Roman" w:eastAsia="Times New Roman" w:hAnsi="Times New Roman" w:cs="Times New Roman"/>
          <w:color w:val="000000"/>
          <w:sz w:val="25"/>
          <w:szCs w:val="25"/>
        </w:rPr>
        <w:t>бала</w:t>
      </w:r>
      <w:proofErr w:type="spellEnd"/>
      <w:r>
        <w:rPr>
          <w:rFonts w:ascii="Times New Roman" w:eastAsia="Times New Roman" w:hAnsi="Times New Roman" w:cs="Times New Roman"/>
          <w:color w:val="000000"/>
          <w:sz w:val="25"/>
          <w:szCs w:val="25"/>
        </w:rPr>
        <w:t>.</w:t>
      </w:r>
    </w:p>
    <w:p w:rsidR="00F025FB" w:rsidRDefault="0052548E">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 xml:space="preserve">Визнати </w:t>
      </w:r>
      <w:proofErr w:type="spellStart"/>
      <w:r>
        <w:rPr>
          <w:rFonts w:ascii="Times New Roman" w:eastAsia="Times New Roman" w:hAnsi="Times New Roman" w:cs="Times New Roman"/>
          <w:color w:val="000000"/>
          <w:sz w:val="25"/>
          <w:szCs w:val="25"/>
        </w:rPr>
        <w:t>Бучинського</w:t>
      </w:r>
      <w:proofErr w:type="spellEnd"/>
      <w:r>
        <w:rPr>
          <w:rFonts w:ascii="Times New Roman" w:eastAsia="Times New Roman" w:hAnsi="Times New Roman" w:cs="Times New Roman"/>
          <w:color w:val="000000"/>
          <w:sz w:val="25"/>
          <w:szCs w:val="25"/>
        </w:rPr>
        <w:t xml:space="preserve"> Андрія Богдановича таким, що підтвердив здатність здійснювати правосуддя </w:t>
      </w:r>
      <w:r w:rsidR="00F477BE">
        <w:rPr>
          <w:rFonts w:ascii="Times New Roman" w:eastAsia="Times New Roman" w:hAnsi="Times New Roman" w:cs="Times New Roman"/>
          <w:color w:val="000000"/>
          <w:sz w:val="25"/>
          <w:szCs w:val="25"/>
          <w:lang w:val="uk-UA"/>
        </w:rPr>
        <w:t>в</w:t>
      </w:r>
      <w:r>
        <w:rPr>
          <w:rFonts w:ascii="Times New Roman" w:eastAsia="Times New Roman" w:hAnsi="Times New Roman" w:cs="Times New Roman"/>
          <w:color w:val="000000"/>
          <w:sz w:val="25"/>
          <w:szCs w:val="25"/>
        </w:rPr>
        <w:t xml:space="preserve"> апеляційному загальному суді.</w:t>
      </w:r>
    </w:p>
    <w:p w:rsidR="00F025FB" w:rsidRDefault="00F025FB">
      <w:pPr>
        <w:shd w:val="clear" w:color="auto" w:fill="FFFFFF"/>
        <w:spacing w:after="0" w:line="240" w:lineRule="auto"/>
        <w:jc w:val="both"/>
        <w:rPr>
          <w:rFonts w:ascii="Times New Roman" w:eastAsia="Times New Roman" w:hAnsi="Times New Roman" w:cs="Times New Roman"/>
          <w:sz w:val="25"/>
          <w:szCs w:val="25"/>
        </w:rPr>
      </w:pPr>
    </w:p>
    <w:p w:rsidR="00F477BE" w:rsidRDefault="00F477BE">
      <w:pPr>
        <w:shd w:val="clear" w:color="auto" w:fill="FFFFFF"/>
        <w:spacing w:after="0" w:line="240" w:lineRule="auto"/>
        <w:jc w:val="both"/>
        <w:rPr>
          <w:rFonts w:ascii="Times New Roman" w:eastAsia="Times New Roman" w:hAnsi="Times New Roman" w:cs="Times New Roman"/>
          <w:sz w:val="25"/>
          <w:szCs w:val="25"/>
        </w:rPr>
      </w:pPr>
    </w:p>
    <w:p w:rsidR="00F025FB" w:rsidRDefault="0052548E">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 xml:space="preserve">Головуючий </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Сергій ЧУМАК</w:t>
      </w:r>
    </w:p>
    <w:p w:rsidR="00F025FB" w:rsidRDefault="00F025FB">
      <w:pPr>
        <w:shd w:val="clear" w:color="auto" w:fill="FFFFFF"/>
        <w:spacing w:after="0" w:line="240" w:lineRule="auto"/>
        <w:jc w:val="both"/>
        <w:rPr>
          <w:rFonts w:ascii="Times New Roman" w:eastAsia="Times New Roman" w:hAnsi="Times New Roman" w:cs="Times New Roman"/>
          <w:sz w:val="25"/>
          <w:szCs w:val="25"/>
        </w:rPr>
      </w:pPr>
    </w:p>
    <w:p w:rsidR="00F025FB" w:rsidRDefault="0052548E">
      <w:pPr>
        <w:shd w:val="clear" w:color="auto" w:fill="FFFFFF"/>
        <w:spacing w:after="0" w:line="240" w:lineRule="auto"/>
        <w:jc w:val="both"/>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Члени Комісії</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rPr>
        <w:tab/>
      </w:r>
      <w:r w:rsidR="00AD72B6">
        <w:rPr>
          <w:rFonts w:ascii="Times New Roman" w:eastAsia="Times New Roman" w:hAnsi="Times New Roman" w:cs="Times New Roman"/>
          <w:color w:val="000000"/>
          <w:sz w:val="25"/>
          <w:szCs w:val="25"/>
          <w:lang w:val="uk-UA"/>
        </w:rPr>
        <w:t xml:space="preserve">     </w:t>
      </w:r>
      <w:r>
        <w:rPr>
          <w:rFonts w:ascii="Times New Roman" w:eastAsia="Times New Roman" w:hAnsi="Times New Roman" w:cs="Times New Roman"/>
          <w:color w:val="000000"/>
          <w:sz w:val="25"/>
          <w:szCs w:val="25"/>
        </w:rPr>
        <w:t>Андрій ПАСІЧНИК</w:t>
      </w:r>
    </w:p>
    <w:p w:rsidR="00AD72B6" w:rsidRDefault="00AD72B6">
      <w:pPr>
        <w:shd w:val="clear" w:color="auto" w:fill="FFFFFF"/>
        <w:spacing w:after="0" w:line="240" w:lineRule="auto"/>
        <w:jc w:val="both"/>
        <w:rPr>
          <w:rFonts w:ascii="Times New Roman" w:eastAsia="Times New Roman" w:hAnsi="Times New Roman" w:cs="Times New Roman"/>
          <w:color w:val="000000"/>
          <w:sz w:val="25"/>
          <w:szCs w:val="25"/>
        </w:rPr>
      </w:pPr>
    </w:p>
    <w:p w:rsidR="00F025FB" w:rsidRDefault="00AD72B6" w:rsidP="00AD72B6">
      <w:pPr>
        <w:shd w:val="clear" w:color="auto" w:fill="FFFFFF"/>
        <w:spacing w:after="0" w:line="240" w:lineRule="auto"/>
        <w:jc w:val="both"/>
        <w:rPr>
          <w:rFonts w:ascii="Times New Roman" w:eastAsia="Times New Roman" w:hAnsi="Times New Roman" w:cs="Times New Roman"/>
          <w:sz w:val="25"/>
          <w:szCs w:val="25"/>
        </w:rPr>
      </w:pP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lang w:val="uk-UA"/>
        </w:rPr>
        <w:t xml:space="preserve">     </w:t>
      </w:r>
      <w:r w:rsidR="0052548E">
        <w:rPr>
          <w:rFonts w:ascii="Times New Roman" w:eastAsia="Times New Roman" w:hAnsi="Times New Roman" w:cs="Times New Roman"/>
          <w:color w:val="000000"/>
          <w:sz w:val="25"/>
          <w:szCs w:val="25"/>
        </w:rPr>
        <w:t>Роман САБОДАШ</w:t>
      </w:r>
    </w:p>
    <w:sectPr w:rsidR="00F025FB">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FC6" w:rsidRDefault="00B00FC6">
      <w:pPr>
        <w:spacing w:after="0" w:line="240" w:lineRule="auto"/>
      </w:pPr>
      <w:r>
        <w:separator/>
      </w:r>
    </w:p>
  </w:endnote>
  <w:endnote w:type="continuationSeparator" w:id="0">
    <w:p w:rsidR="00B00FC6" w:rsidRDefault="00B00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0713C40C-1DC1-4721-B74A-0A89BB778AC8}"/>
    <w:embedBold r:id="rId2" w:fontKey="{53070D21-6592-4EAA-8A37-D72473CD75A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264D188C-2DCB-45A2-8F41-6B08A09CF62D}"/>
  </w:font>
  <w:font w:name="Cambria">
    <w:panose1 w:val="02040503050406030204"/>
    <w:charset w:val="CC"/>
    <w:family w:val="roman"/>
    <w:pitch w:val="variable"/>
    <w:sig w:usb0="E00006FF" w:usb1="420024FF" w:usb2="02000000" w:usb3="00000000" w:csb0="0000019F" w:csb1="00000000"/>
    <w:embedRegular r:id="rId4" w:fontKey="{A33BE300-3C69-48EB-AA22-59FB9200CA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FC6" w:rsidRDefault="00B00FC6">
      <w:pPr>
        <w:spacing w:after="0" w:line="240" w:lineRule="auto"/>
      </w:pPr>
      <w:r>
        <w:separator/>
      </w:r>
    </w:p>
  </w:footnote>
  <w:footnote w:type="continuationSeparator" w:id="0">
    <w:p w:rsidR="00B00FC6" w:rsidRDefault="00B00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FB" w:rsidRDefault="0052548E">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872EC">
      <w:rPr>
        <w:noProof/>
        <w:color w:val="000000"/>
      </w:rPr>
      <w:t>2</w:t>
    </w:r>
    <w:r>
      <w:rPr>
        <w:color w:val="000000"/>
      </w:rPr>
      <w:fldChar w:fldCharType="end"/>
    </w:r>
  </w:p>
  <w:p w:rsidR="00F025FB" w:rsidRDefault="00F025FB">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EFB"/>
    <w:multiLevelType w:val="multilevel"/>
    <w:tmpl w:val="32066260"/>
    <w:lvl w:ilvl="0">
      <w:start w:val="6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7D37B6"/>
    <w:multiLevelType w:val="multilevel"/>
    <w:tmpl w:val="0BC4C9E0"/>
    <w:lvl w:ilvl="0">
      <w:start w:val="52"/>
      <w:numFmt w:val="decimal"/>
      <w:lvlText w:val="%1."/>
      <w:lvlJc w:val="left"/>
      <w:pPr>
        <w:ind w:left="465" w:hanging="465"/>
      </w:pPr>
    </w:lvl>
    <w:lvl w:ilvl="1">
      <w:start w:val="67"/>
      <w:numFmt w:val="decimal"/>
      <w:lvlText w:val="%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 w15:restartNumberingAfterBreak="0">
    <w:nsid w:val="271A585C"/>
    <w:multiLevelType w:val="multilevel"/>
    <w:tmpl w:val="1466063C"/>
    <w:lvl w:ilvl="0">
      <w:start w:val="9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455CEF"/>
    <w:multiLevelType w:val="multilevel"/>
    <w:tmpl w:val="2CDEA68E"/>
    <w:lvl w:ilvl="0">
      <w:start w:val="72"/>
      <w:numFmt w:val="decimal"/>
      <w:lvlText w:val="%1."/>
      <w:lvlJc w:val="left"/>
      <w:pPr>
        <w:ind w:left="465" w:hanging="465"/>
      </w:pPr>
    </w:lvl>
    <w:lvl w:ilvl="1">
      <w:start w:val="2"/>
      <w:numFmt w:val="decimal"/>
      <w:lvlText w:val="62.%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34E33032"/>
    <w:multiLevelType w:val="multilevel"/>
    <w:tmpl w:val="62EEBA6A"/>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41000B"/>
    <w:multiLevelType w:val="multilevel"/>
    <w:tmpl w:val="A618963E"/>
    <w:lvl w:ilvl="0">
      <w:start w:val="53"/>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15:restartNumberingAfterBreak="0">
    <w:nsid w:val="5F28581C"/>
    <w:multiLevelType w:val="multilevel"/>
    <w:tmpl w:val="02F257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1"/>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5FB"/>
    <w:rsid w:val="001E094D"/>
    <w:rsid w:val="002E21AC"/>
    <w:rsid w:val="0052548E"/>
    <w:rsid w:val="00860232"/>
    <w:rsid w:val="00881CC8"/>
    <w:rsid w:val="008A5B63"/>
    <w:rsid w:val="00911E65"/>
    <w:rsid w:val="00931FFD"/>
    <w:rsid w:val="009872EC"/>
    <w:rsid w:val="00AD72B6"/>
    <w:rsid w:val="00B00FC6"/>
    <w:rsid w:val="00BB223A"/>
    <w:rsid w:val="00F025FB"/>
    <w:rsid w:val="00F477BE"/>
    <w:rsid w:val="00F873CE"/>
    <w:rsid w:val="00FF27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5F29"/>
  <w15:docId w15:val="{007FCF11-0F67-4718-966A-638CDF73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d0aTkWfuuHtLcv0DsZXfkXSxg==">CgMxLjAyDmguM21uMGlqZnE1OG1zMg1oLnFkOXJjYjJzMGttMg5oLmVtNHhwaGtkcDcyNzIPaWQuamYxbGpyY2V6dTByMg9pZC55cnd6eW52YTN1NDgyD2lkLnlvOXlocWI5Nm96ejIOaC5nbWdoY290aWM1MHUyDmguczIzeDhrZWJnMDRhOAByITFUcUZTYzNkeVVWZEhfeWxBalM1VHhaeEVTVTh5SC1KRw==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44948</Words>
  <Characters>25621</Characters>
  <Application>Microsoft Office Word</Application>
  <DocSecurity>0</DocSecurity>
  <Lines>213</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Білокопитов Єгор Олександрович</dc:creator>
  <cp:lastModifiedBy>Василенко Наталія Іванівна</cp:lastModifiedBy>
  <cp:revision>4</cp:revision>
  <cp:lastPrinted>2026-06-30T13:10:00Z</cp:lastPrinted>
  <dcterms:created xsi:type="dcterms:W3CDTF">2026-06-30T13:25:00Z</dcterms:created>
  <dcterms:modified xsi:type="dcterms:W3CDTF">2026-07-01T13:35:00Z</dcterms:modified>
</cp:coreProperties>
</file>