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CCB8E3" w14:textId="77777777" w:rsidR="00480115" w:rsidRDefault="00E45D5E">
      <w:pPr>
        <w:spacing w:line="276" w:lineRule="auto"/>
        <w:ind w:left="4517" w:right="4200"/>
        <w:rPr>
          <w:sz w:val="27"/>
          <w:szCs w:val="27"/>
        </w:rPr>
      </w:pPr>
      <w:r>
        <w:rPr>
          <w:noProof/>
        </w:rPr>
        <w:drawing>
          <wp:inline distT="0" distB="0" distL="0" distR="0" wp14:anchorId="4F07832F" wp14:editId="6E409277">
            <wp:extent cx="542925" cy="714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542925" cy="714375"/>
                    </a:xfrm>
                    <a:prstGeom prst="rect">
                      <a:avLst/>
                    </a:prstGeom>
                    <a:solidFill>
                      <a:srgbClr val="FFFFFF"/>
                    </a:solidFill>
                  </pic:spPr>
                </pic:pic>
              </a:graphicData>
            </a:graphic>
          </wp:inline>
        </w:drawing>
      </w:r>
    </w:p>
    <w:p w14:paraId="09DDB123" w14:textId="77777777" w:rsidR="00480115" w:rsidRDefault="00480115">
      <w:pPr>
        <w:spacing w:line="276" w:lineRule="auto"/>
        <w:rPr>
          <w:sz w:val="27"/>
          <w:szCs w:val="27"/>
        </w:rPr>
      </w:pPr>
    </w:p>
    <w:p w14:paraId="18E148EF" w14:textId="77777777" w:rsidR="00480115" w:rsidRDefault="00E45D5E">
      <w:pPr>
        <w:spacing w:line="276" w:lineRule="auto"/>
        <w:ind w:right="57"/>
        <w:jc w:val="center"/>
        <w:rPr>
          <w:sz w:val="36"/>
          <w:szCs w:val="36"/>
        </w:rPr>
      </w:pPr>
      <w:r>
        <w:rPr>
          <w:sz w:val="36"/>
          <w:szCs w:val="36"/>
        </w:rPr>
        <w:t>ВИЩА КВАЛІФІКАЦІЙНА КОМІСІЯ СУДДІВ УКРАЇНИ</w:t>
      </w:r>
    </w:p>
    <w:p w14:paraId="15B7BBAA" w14:textId="77777777" w:rsidR="00480115" w:rsidRDefault="00480115">
      <w:pPr>
        <w:spacing w:line="276" w:lineRule="auto"/>
        <w:ind w:right="57"/>
        <w:rPr>
          <w:sz w:val="27"/>
          <w:szCs w:val="27"/>
        </w:rPr>
      </w:pPr>
    </w:p>
    <w:p w14:paraId="44A71D22" w14:textId="77777777" w:rsidR="00480115" w:rsidRDefault="00E45D5E">
      <w:pPr>
        <w:shd w:val="clear" w:color="auto" w:fill="FFFFFF"/>
        <w:spacing w:line="276" w:lineRule="auto"/>
        <w:jc w:val="both"/>
        <w:rPr>
          <w:sz w:val="26"/>
          <w:szCs w:val="26"/>
        </w:rPr>
      </w:pPr>
      <w:r>
        <w:rPr>
          <w:sz w:val="26"/>
          <w:szCs w:val="26"/>
        </w:rPr>
        <w:t>03 липня 2026 року</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м. Київ</w:t>
      </w:r>
    </w:p>
    <w:p w14:paraId="5A1579EA" w14:textId="77777777" w:rsidR="00480115" w:rsidRDefault="00480115">
      <w:pPr>
        <w:shd w:val="clear" w:color="auto" w:fill="FFFFFF"/>
        <w:spacing w:line="276" w:lineRule="auto"/>
        <w:jc w:val="both"/>
        <w:rPr>
          <w:sz w:val="26"/>
          <w:szCs w:val="26"/>
        </w:rPr>
      </w:pPr>
    </w:p>
    <w:p w14:paraId="04F2FAAD" w14:textId="3D9FB8B3" w:rsidR="00480115" w:rsidRDefault="00E45D5E">
      <w:pPr>
        <w:shd w:val="clear" w:color="auto" w:fill="FFFFFF"/>
        <w:spacing w:line="276" w:lineRule="auto"/>
        <w:ind w:right="134"/>
        <w:jc w:val="center"/>
        <w:rPr>
          <w:sz w:val="26"/>
          <w:szCs w:val="26"/>
          <w:u w:val="single"/>
        </w:rPr>
      </w:pPr>
      <w:r>
        <w:rPr>
          <w:sz w:val="26"/>
          <w:szCs w:val="26"/>
        </w:rPr>
        <w:t xml:space="preserve">Р І Ш Е Н Н Я  № </w:t>
      </w:r>
      <w:r w:rsidR="00515C6B">
        <w:rPr>
          <w:sz w:val="26"/>
          <w:szCs w:val="26"/>
          <w:u w:val="single"/>
        </w:rPr>
        <w:t>364/ас-26</w:t>
      </w:r>
    </w:p>
    <w:p w14:paraId="78876B34" w14:textId="77777777" w:rsidR="00480115" w:rsidRDefault="00480115">
      <w:pPr>
        <w:shd w:val="clear" w:color="auto" w:fill="FFFFFF"/>
        <w:tabs>
          <w:tab w:val="left" w:pos="567"/>
        </w:tabs>
        <w:spacing w:line="276" w:lineRule="auto"/>
        <w:ind w:right="-1"/>
        <w:jc w:val="both"/>
        <w:rPr>
          <w:sz w:val="26"/>
          <w:szCs w:val="26"/>
        </w:rPr>
      </w:pPr>
    </w:p>
    <w:p w14:paraId="7E28981B" w14:textId="77777777" w:rsidR="00480115" w:rsidRDefault="00E45D5E">
      <w:pPr>
        <w:shd w:val="clear" w:color="auto" w:fill="FFFFFF"/>
        <w:tabs>
          <w:tab w:val="left" w:pos="567"/>
        </w:tabs>
        <w:spacing w:line="276" w:lineRule="auto"/>
        <w:ind w:right="-2"/>
        <w:jc w:val="both"/>
        <w:rPr>
          <w:sz w:val="26"/>
          <w:szCs w:val="26"/>
        </w:rPr>
      </w:pPr>
      <w:r>
        <w:rPr>
          <w:sz w:val="26"/>
          <w:szCs w:val="26"/>
        </w:rPr>
        <w:t>Вища кваліфікаційна комісія суддів України у складі колегії:</w:t>
      </w:r>
    </w:p>
    <w:p w14:paraId="76604B80" w14:textId="77777777" w:rsidR="00480115" w:rsidRDefault="00480115">
      <w:pPr>
        <w:shd w:val="clear" w:color="auto" w:fill="FFFFFF"/>
        <w:spacing w:line="276" w:lineRule="auto"/>
        <w:ind w:right="-2"/>
        <w:jc w:val="both"/>
        <w:rPr>
          <w:sz w:val="26"/>
          <w:szCs w:val="26"/>
        </w:rPr>
      </w:pPr>
    </w:p>
    <w:p w14:paraId="673D6BE7" w14:textId="77777777" w:rsidR="00480115" w:rsidRDefault="00E45D5E">
      <w:pPr>
        <w:shd w:val="clear" w:color="auto" w:fill="FFFFFF"/>
        <w:tabs>
          <w:tab w:val="left" w:pos="3969"/>
        </w:tabs>
        <w:spacing w:line="276" w:lineRule="auto"/>
        <w:ind w:right="-2"/>
        <w:jc w:val="both"/>
        <w:rPr>
          <w:sz w:val="26"/>
          <w:szCs w:val="26"/>
        </w:rPr>
      </w:pPr>
      <w:r>
        <w:rPr>
          <w:sz w:val="26"/>
          <w:szCs w:val="26"/>
        </w:rPr>
        <w:t>головуючого – Михайла БОГОНОСА (доповідач),</w:t>
      </w:r>
    </w:p>
    <w:p w14:paraId="3A61673E" w14:textId="77777777" w:rsidR="00480115" w:rsidRDefault="00480115">
      <w:pPr>
        <w:shd w:val="clear" w:color="auto" w:fill="FFFFFF"/>
        <w:tabs>
          <w:tab w:val="left" w:pos="3969"/>
        </w:tabs>
        <w:spacing w:line="276" w:lineRule="auto"/>
        <w:ind w:right="-2"/>
        <w:jc w:val="both"/>
        <w:rPr>
          <w:sz w:val="26"/>
          <w:szCs w:val="26"/>
        </w:rPr>
      </w:pPr>
    </w:p>
    <w:p w14:paraId="45C285B2" w14:textId="77777777" w:rsidR="00480115" w:rsidRDefault="00E45D5E">
      <w:pPr>
        <w:shd w:val="clear" w:color="auto" w:fill="FFFFFF"/>
        <w:tabs>
          <w:tab w:val="left" w:pos="3969"/>
        </w:tabs>
        <w:spacing w:line="276" w:lineRule="auto"/>
        <w:ind w:right="-2"/>
        <w:jc w:val="both"/>
        <w:rPr>
          <w:sz w:val="26"/>
          <w:szCs w:val="26"/>
        </w:rPr>
      </w:pPr>
      <w:r>
        <w:rPr>
          <w:sz w:val="26"/>
          <w:szCs w:val="26"/>
        </w:rPr>
        <w:t>членів Комісії: Надії КОБЕЦЬКОЇ, Галини ШЕВЧУК,</w:t>
      </w:r>
    </w:p>
    <w:p w14:paraId="528FE524" w14:textId="77777777" w:rsidR="00480115" w:rsidRDefault="00480115">
      <w:pPr>
        <w:shd w:val="clear" w:color="auto" w:fill="FFFFFF"/>
        <w:tabs>
          <w:tab w:val="left" w:pos="3969"/>
        </w:tabs>
        <w:spacing w:line="276" w:lineRule="auto"/>
        <w:ind w:right="-2"/>
        <w:jc w:val="both"/>
        <w:rPr>
          <w:sz w:val="26"/>
          <w:szCs w:val="26"/>
        </w:rPr>
      </w:pPr>
    </w:p>
    <w:p w14:paraId="755669FF" w14:textId="4C4D0AD2" w:rsidR="00480115" w:rsidRDefault="00E45D5E">
      <w:pPr>
        <w:shd w:val="clear" w:color="auto" w:fill="FFFFFF"/>
        <w:tabs>
          <w:tab w:val="left" w:pos="3969"/>
        </w:tabs>
        <w:spacing w:line="276" w:lineRule="auto"/>
        <w:ind w:right="-2"/>
        <w:jc w:val="both"/>
        <w:rPr>
          <w:sz w:val="26"/>
          <w:szCs w:val="26"/>
        </w:rPr>
      </w:pPr>
      <w:r>
        <w:rPr>
          <w:sz w:val="26"/>
          <w:szCs w:val="26"/>
        </w:rPr>
        <w:t>за участі: кандидата на посаду судді апеляційного загального суду Наталії</w:t>
      </w:r>
      <w:r w:rsidR="003C482E">
        <w:rPr>
          <w:sz w:val="26"/>
          <w:szCs w:val="26"/>
        </w:rPr>
        <w:t> </w:t>
      </w:r>
      <w:r>
        <w:rPr>
          <w:sz w:val="26"/>
          <w:szCs w:val="26"/>
        </w:rPr>
        <w:t>МАРЧЕНКО,</w:t>
      </w:r>
    </w:p>
    <w:p w14:paraId="0F2D4643" w14:textId="77777777" w:rsidR="00480115" w:rsidRDefault="00480115">
      <w:pPr>
        <w:shd w:val="clear" w:color="auto" w:fill="FFFFFF"/>
        <w:spacing w:line="276" w:lineRule="auto"/>
        <w:ind w:right="-2"/>
        <w:jc w:val="both"/>
        <w:rPr>
          <w:sz w:val="26"/>
          <w:szCs w:val="26"/>
        </w:rPr>
      </w:pPr>
    </w:p>
    <w:p w14:paraId="56ED3E19" w14:textId="05A97E24" w:rsidR="00480115" w:rsidRDefault="00E45D5E">
      <w:pPr>
        <w:shd w:val="clear" w:color="auto" w:fill="FFFFFF"/>
        <w:tabs>
          <w:tab w:val="left" w:pos="3969"/>
        </w:tabs>
        <w:spacing w:line="276" w:lineRule="auto"/>
        <w:ind w:right="-15"/>
        <w:jc w:val="both"/>
        <w:rPr>
          <w:sz w:val="26"/>
          <w:szCs w:val="26"/>
        </w:rPr>
      </w:pPr>
      <w:r>
        <w:rPr>
          <w:sz w:val="26"/>
          <w:szCs w:val="26"/>
        </w:rPr>
        <w:t>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Марченко Наталії Юріївни в межах конкурсу, оголошеного рішенням Комісії від 14 вересня 2023</w:t>
      </w:r>
      <w:r>
        <w:rPr>
          <w:sz w:val="26"/>
          <w:szCs w:val="26"/>
          <w:lang w:val="en-US"/>
        </w:rPr>
        <w:t> </w:t>
      </w:r>
      <w:r>
        <w:rPr>
          <w:sz w:val="26"/>
          <w:szCs w:val="26"/>
        </w:rPr>
        <w:t>року №</w:t>
      </w:r>
      <w:r w:rsidR="003C482E">
        <w:rPr>
          <w:sz w:val="26"/>
          <w:szCs w:val="26"/>
        </w:rPr>
        <w:t> </w:t>
      </w:r>
      <w:r>
        <w:rPr>
          <w:sz w:val="26"/>
          <w:szCs w:val="26"/>
        </w:rPr>
        <w:t>94/зп-23 (зі змінами),</w:t>
      </w:r>
    </w:p>
    <w:p w14:paraId="6674230A" w14:textId="77777777" w:rsidR="00480115" w:rsidRDefault="00480115">
      <w:pPr>
        <w:shd w:val="clear" w:color="auto" w:fill="FFFFFF"/>
        <w:tabs>
          <w:tab w:val="left" w:pos="3969"/>
        </w:tabs>
        <w:spacing w:line="276" w:lineRule="auto"/>
        <w:ind w:right="-15"/>
        <w:jc w:val="both"/>
        <w:rPr>
          <w:sz w:val="26"/>
          <w:szCs w:val="26"/>
        </w:rPr>
      </w:pPr>
    </w:p>
    <w:p w14:paraId="10712E4C" w14:textId="77777777" w:rsidR="00480115" w:rsidRDefault="00E45D5E">
      <w:pPr>
        <w:shd w:val="clear" w:color="auto" w:fill="FFFFFF"/>
        <w:tabs>
          <w:tab w:val="left" w:pos="3969"/>
        </w:tabs>
        <w:spacing w:line="276" w:lineRule="auto"/>
        <w:ind w:right="-15"/>
        <w:jc w:val="center"/>
        <w:rPr>
          <w:sz w:val="26"/>
          <w:szCs w:val="26"/>
        </w:rPr>
      </w:pPr>
      <w:r>
        <w:rPr>
          <w:sz w:val="26"/>
          <w:szCs w:val="26"/>
        </w:rPr>
        <w:t>встановила:</w:t>
      </w:r>
    </w:p>
    <w:p w14:paraId="6109D028" w14:textId="77777777" w:rsidR="00480115" w:rsidRDefault="00480115">
      <w:pPr>
        <w:spacing w:line="276" w:lineRule="auto"/>
        <w:rPr>
          <w:sz w:val="26"/>
          <w:szCs w:val="26"/>
        </w:rPr>
      </w:pPr>
    </w:p>
    <w:p w14:paraId="5083715C" w14:textId="77777777" w:rsidR="00480115" w:rsidRDefault="00E45D5E">
      <w:pPr>
        <w:spacing w:line="276" w:lineRule="auto"/>
        <w:ind w:firstLine="709"/>
        <w:jc w:val="both"/>
        <w:rPr>
          <w:b/>
          <w:sz w:val="26"/>
          <w:szCs w:val="26"/>
        </w:rPr>
      </w:pPr>
      <w:r>
        <w:rPr>
          <w:b/>
          <w:sz w:val="26"/>
          <w:szCs w:val="26"/>
        </w:rPr>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14:paraId="5DA0C6AA" w14:textId="77777777" w:rsidR="00480115" w:rsidRDefault="00480115">
      <w:pPr>
        <w:spacing w:line="276" w:lineRule="auto"/>
        <w:ind w:firstLine="709"/>
        <w:jc w:val="both"/>
        <w:rPr>
          <w:sz w:val="26"/>
          <w:szCs w:val="26"/>
        </w:rPr>
      </w:pPr>
    </w:p>
    <w:p w14:paraId="7BF24557" w14:textId="77777777" w:rsidR="00480115" w:rsidRDefault="00E45D5E">
      <w:pPr>
        <w:shd w:val="clear" w:color="auto" w:fill="FFFFFF"/>
        <w:tabs>
          <w:tab w:val="left" w:pos="426"/>
        </w:tabs>
        <w:spacing w:line="276" w:lineRule="auto"/>
        <w:ind w:firstLine="709"/>
        <w:jc w:val="both"/>
        <w:rPr>
          <w:sz w:val="26"/>
          <w:szCs w:val="26"/>
        </w:rPr>
      </w:pPr>
      <w:r>
        <w:rPr>
          <w:sz w:val="26"/>
          <w:szCs w:val="26"/>
        </w:rPr>
        <w:t>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14:paraId="185B15CA" w14:textId="77777777" w:rsidR="00480115" w:rsidRDefault="00E45D5E">
      <w:pPr>
        <w:shd w:val="clear" w:color="auto" w:fill="FFFFFF"/>
        <w:tabs>
          <w:tab w:val="left" w:pos="426"/>
        </w:tabs>
        <w:spacing w:line="276" w:lineRule="auto"/>
        <w:ind w:firstLine="709"/>
        <w:jc w:val="both"/>
        <w:rPr>
          <w:sz w:val="26"/>
          <w:szCs w:val="26"/>
        </w:rPr>
      </w:pPr>
      <w:r>
        <w:rPr>
          <w:sz w:val="26"/>
          <w:szCs w:val="26"/>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(далі – ВРП) рекомендації про </w:t>
      </w:r>
      <w:r>
        <w:rPr>
          <w:sz w:val="26"/>
          <w:szCs w:val="26"/>
        </w:rPr>
        <w:lastRenderedPageBreak/>
        <w:t>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141/зп-16 (у редакції рішення Вищої кваліфікаційної комісії суддів України від</w:t>
      </w:r>
      <w:r>
        <w:rPr>
          <w:sz w:val="26"/>
          <w:szCs w:val="26"/>
          <w:lang w:val="en-US"/>
        </w:rPr>
        <w:t> </w:t>
      </w:r>
      <w:r>
        <w:rPr>
          <w:sz w:val="26"/>
          <w:szCs w:val="26"/>
        </w:rPr>
        <w:t>29 лютого 2024</w:t>
      </w:r>
      <w:r>
        <w:rPr>
          <w:sz w:val="26"/>
          <w:szCs w:val="26"/>
          <w:lang w:val="en-US"/>
        </w:rPr>
        <w:t> </w:t>
      </w:r>
      <w:r>
        <w:rPr>
          <w:sz w:val="26"/>
          <w:szCs w:val="26"/>
        </w:rPr>
        <w:t xml:space="preserve">року № 72/зп-24) (далі – Положення про конкурс). </w:t>
      </w:r>
    </w:p>
    <w:p w14:paraId="795FB188" w14:textId="77777777" w:rsidR="00480115" w:rsidRDefault="00E45D5E">
      <w:pPr>
        <w:shd w:val="clear" w:color="auto" w:fill="FFFFFF"/>
        <w:tabs>
          <w:tab w:val="left" w:pos="426"/>
        </w:tabs>
        <w:spacing w:line="276" w:lineRule="auto"/>
        <w:ind w:firstLine="709"/>
        <w:jc w:val="both"/>
        <w:rPr>
          <w:sz w:val="26"/>
          <w:szCs w:val="26"/>
        </w:rPr>
      </w:pPr>
      <w:r>
        <w:rPr>
          <w:sz w:val="26"/>
          <w:szCs w:val="26"/>
        </w:rPr>
        <w:t>Згідно з частиною другою статті 79</w:t>
      </w:r>
      <w:r>
        <w:rPr>
          <w:sz w:val="26"/>
          <w:szCs w:val="26"/>
          <w:vertAlign w:val="superscript"/>
        </w:rPr>
        <w:t>3</w:t>
      </w:r>
      <w:r>
        <w:rPr>
          <w:sz w:val="26"/>
          <w:szCs w:val="26"/>
        </w:rPr>
        <w:t xml:space="preserve">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w:t>
      </w:r>
    </w:p>
    <w:p w14:paraId="672AB5BA" w14:textId="77777777" w:rsidR="00480115" w:rsidRDefault="00E45D5E">
      <w:pPr>
        <w:shd w:val="clear" w:color="auto" w:fill="FFFFFF"/>
        <w:tabs>
          <w:tab w:val="left" w:pos="426"/>
        </w:tabs>
        <w:spacing w:line="276" w:lineRule="auto"/>
        <w:ind w:firstLine="709"/>
        <w:jc w:val="both"/>
        <w:rPr>
          <w:sz w:val="26"/>
          <w:szCs w:val="26"/>
        </w:rPr>
      </w:pPr>
      <w:r>
        <w:rPr>
          <w:sz w:val="26"/>
          <w:szCs w:val="26"/>
        </w:rPr>
        <w:t xml:space="preserve">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14:paraId="6C8A7C0E" w14:textId="6DA590F6" w:rsidR="00480115" w:rsidRDefault="00E45D5E">
      <w:pPr>
        <w:shd w:val="clear" w:color="auto" w:fill="FFFFFF"/>
        <w:tabs>
          <w:tab w:val="left" w:pos="426"/>
        </w:tabs>
        <w:spacing w:line="276" w:lineRule="auto"/>
        <w:ind w:firstLine="709"/>
        <w:jc w:val="both"/>
        <w:rPr>
          <w:sz w:val="26"/>
          <w:szCs w:val="26"/>
        </w:rPr>
      </w:pPr>
      <w:r>
        <w:rPr>
          <w:sz w:val="26"/>
          <w:szCs w:val="26"/>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w:t>
      </w:r>
      <w:r w:rsidR="003C482E">
        <w:rPr>
          <w:sz w:val="26"/>
          <w:szCs w:val="26"/>
        </w:rPr>
        <w:t> </w:t>
      </w:r>
      <w:r>
        <w:rPr>
          <w:sz w:val="26"/>
          <w:szCs w:val="26"/>
        </w:rPr>
        <w:t>компетентність (професійна, особиста, соціальна тощо); 2) професійна етика; 3)</w:t>
      </w:r>
      <w:r w:rsidR="003C482E">
        <w:rPr>
          <w:sz w:val="26"/>
          <w:szCs w:val="26"/>
        </w:rPr>
        <w:t> </w:t>
      </w:r>
      <w:r>
        <w:rPr>
          <w:sz w:val="26"/>
          <w:szCs w:val="26"/>
        </w:rPr>
        <w:t>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17C61CF9" w14:textId="77777777" w:rsidR="00480115" w:rsidRDefault="00E45D5E">
      <w:pPr>
        <w:shd w:val="clear" w:color="auto" w:fill="FFFFFF"/>
        <w:tabs>
          <w:tab w:val="left" w:pos="426"/>
        </w:tabs>
        <w:spacing w:line="276" w:lineRule="auto"/>
        <w:ind w:firstLine="709"/>
        <w:jc w:val="both"/>
        <w:rPr>
          <w:sz w:val="26"/>
          <w:szCs w:val="26"/>
        </w:rPr>
      </w:pPr>
      <w:r>
        <w:rPr>
          <w:sz w:val="26"/>
          <w:szCs w:val="26"/>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w:t>
      </w:r>
    </w:p>
    <w:p w14:paraId="265247E9" w14:textId="77777777" w:rsidR="00480115" w:rsidRDefault="00E45D5E">
      <w:pPr>
        <w:shd w:val="clear" w:color="auto" w:fill="FFFFFF"/>
        <w:tabs>
          <w:tab w:val="left" w:pos="426"/>
        </w:tabs>
        <w:spacing w:line="276" w:lineRule="auto"/>
        <w:ind w:firstLine="709"/>
        <w:jc w:val="both"/>
        <w:rPr>
          <w:sz w:val="26"/>
          <w:szCs w:val="26"/>
        </w:rPr>
      </w:pPr>
      <w:r>
        <w:rPr>
          <w:sz w:val="26"/>
          <w:szCs w:val="26"/>
        </w:rPr>
        <w:t xml:space="preserve">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 </w:t>
      </w:r>
    </w:p>
    <w:p w14:paraId="3D9D8C1D" w14:textId="77777777" w:rsidR="00480115" w:rsidRDefault="00E45D5E">
      <w:pPr>
        <w:shd w:val="clear" w:color="auto" w:fill="FFFFFF"/>
        <w:tabs>
          <w:tab w:val="left" w:pos="426"/>
        </w:tabs>
        <w:spacing w:line="276" w:lineRule="auto"/>
        <w:ind w:firstLine="709"/>
        <w:jc w:val="both"/>
        <w:rPr>
          <w:sz w:val="26"/>
          <w:szCs w:val="26"/>
        </w:rPr>
      </w:pPr>
      <w:r>
        <w:rPr>
          <w:sz w:val="26"/>
          <w:szCs w:val="26"/>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w:t>
      </w:r>
    </w:p>
    <w:p w14:paraId="6014FF89" w14:textId="77777777" w:rsidR="00480115" w:rsidRDefault="00E45D5E">
      <w:pPr>
        <w:shd w:val="clear" w:color="auto" w:fill="FFFFFF"/>
        <w:tabs>
          <w:tab w:val="left" w:pos="426"/>
        </w:tabs>
        <w:spacing w:line="276" w:lineRule="auto"/>
        <w:ind w:firstLine="709"/>
        <w:jc w:val="both"/>
        <w:rPr>
          <w:sz w:val="26"/>
          <w:szCs w:val="26"/>
        </w:rPr>
      </w:pPr>
      <w:r>
        <w:rPr>
          <w:sz w:val="26"/>
          <w:szCs w:val="26"/>
        </w:rPr>
        <w:t>У грудні 2023 року Марченко Н.Ю. звернулася до Комісії із заявою про допуск до участі в конкурсі на зайняття вакантної посади судді в апеляційному загальному суді, оголошеному рішенням Комісії від 14 вересня 2023 року, як особа, яка відповідає вимогам пункту 1 частини першої статті 28 Закону, та про проведення стосовно неї кваліфікаційного оцінювання для підтвердження здатності здійснювати правосуддя у відповідному суді.</w:t>
      </w:r>
    </w:p>
    <w:p w14:paraId="209C2428" w14:textId="77777777" w:rsidR="00480115" w:rsidRDefault="00E45D5E">
      <w:pPr>
        <w:shd w:val="clear" w:color="auto" w:fill="FFFFFF"/>
        <w:tabs>
          <w:tab w:val="left" w:pos="426"/>
        </w:tabs>
        <w:spacing w:line="276" w:lineRule="auto"/>
        <w:ind w:firstLine="709"/>
        <w:jc w:val="both"/>
        <w:rPr>
          <w:sz w:val="26"/>
          <w:szCs w:val="26"/>
        </w:rPr>
      </w:pPr>
      <w:r>
        <w:rPr>
          <w:sz w:val="26"/>
          <w:szCs w:val="26"/>
        </w:rPr>
        <w:t>Рішенням Комісії від 04 березня 2024 року № 84/ас-24 Марченко Н.Ю. допущено до проходження кваліфікаційного оцінювання та участі в конкурсі на зайняття 550 вакантних посад суддів в апеляційних судах.</w:t>
      </w:r>
    </w:p>
    <w:p w14:paraId="2123CFE6" w14:textId="77777777" w:rsidR="00480115" w:rsidRDefault="00480115">
      <w:pPr>
        <w:shd w:val="clear" w:color="auto" w:fill="FFFFFF"/>
        <w:tabs>
          <w:tab w:val="left" w:pos="426"/>
        </w:tabs>
        <w:spacing w:line="276" w:lineRule="auto"/>
        <w:ind w:firstLine="709"/>
        <w:jc w:val="both"/>
        <w:rPr>
          <w:sz w:val="26"/>
          <w:szCs w:val="26"/>
        </w:rPr>
      </w:pPr>
    </w:p>
    <w:p w14:paraId="75EB7B53" w14:textId="77777777" w:rsidR="00480115" w:rsidRDefault="00E45D5E">
      <w:pPr>
        <w:spacing w:line="276" w:lineRule="auto"/>
        <w:ind w:firstLine="709"/>
        <w:jc w:val="both"/>
        <w:rPr>
          <w:b/>
          <w:sz w:val="26"/>
          <w:szCs w:val="26"/>
        </w:rPr>
      </w:pPr>
      <w:r>
        <w:rPr>
          <w:b/>
          <w:sz w:val="26"/>
          <w:szCs w:val="26"/>
        </w:rPr>
        <w:t xml:space="preserve">Основні відомості про кандидата. </w:t>
      </w:r>
    </w:p>
    <w:p w14:paraId="65E71802" w14:textId="77777777" w:rsidR="00480115" w:rsidRDefault="00480115">
      <w:pPr>
        <w:spacing w:line="276" w:lineRule="auto"/>
        <w:ind w:firstLine="709"/>
        <w:jc w:val="both"/>
        <w:rPr>
          <w:sz w:val="26"/>
          <w:szCs w:val="26"/>
        </w:rPr>
      </w:pPr>
    </w:p>
    <w:p w14:paraId="6D91047A" w14:textId="2661786B" w:rsidR="00480115" w:rsidRDefault="00E45D5E">
      <w:pPr>
        <w:spacing w:line="276" w:lineRule="auto"/>
        <w:ind w:firstLine="709"/>
        <w:contextualSpacing/>
        <w:jc w:val="both"/>
        <w:rPr>
          <w:sz w:val="26"/>
          <w:szCs w:val="26"/>
        </w:rPr>
      </w:pPr>
      <w:r>
        <w:rPr>
          <w:sz w:val="26"/>
          <w:szCs w:val="26"/>
        </w:rPr>
        <w:t xml:space="preserve">Марченко Н.Ю., дата народження – </w:t>
      </w:r>
      <w:r w:rsidR="003F3CDC">
        <w:rPr>
          <w:sz w:val="26"/>
          <w:szCs w:val="26"/>
          <w:lang w:val="en-US"/>
        </w:rPr>
        <w:t>______________</w:t>
      </w:r>
      <w:r w:rsidR="0084745E">
        <w:rPr>
          <w:sz w:val="26"/>
          <w:szCs w:val="26"/>
          <w:lang w:val="en-US"/>
        </w:rPr>
        <w:t>__</w:t>
      </w:r>
      <w:r>
        <w:rPr>
          <w:sz w:val="26"/>
          <w:szCs w:val="26"/>
          <w:lang w:val="ru-RU"/>
        </w:rPr>
        <w:t xml:space="preserve"> </w:t>
      </w:r>
      <w:r>
        <w:rPr>
          <w:sz w:val="26"/>
          <w:szCs w:val="26"/>
        </w:rPr>
        <w:t>року, громадянка України, володіє державною мовою на рівні вільного володіння другого ступеня. Відомості про наявність заборон для зайняття посади судді, визначені частиною другою статті 69 Закону, відсутні.</w:t>
      </w:r>
    </w:p>
    <w:p w14:paraId="6F65B0E8" w14:textId="5804353D" w:rsidR="00480115" w:rsidRPr="00C14D01" w:rsidRDefault="00E45D5E">
      <w:pPr>
        <w:spacing w:line="276" w:lineRule="auto"/>
        <w:ind w:firstLine="709"/>
        <w:contextualSpacing/>
        <w:jc w:val="both"/>
        <w:rPr>
          <w:sz w:val="26"/>
          <w:szCs w:val="26"/>
        </w:rPr>
      </w:pPr>
      <w:r>
        <w:rPr>
          <w:sz w:val="26"/>
          <w:szCs w:val="26"/>
        </w:rPr>
        <w:t xml:space="preserve">У 2007 році кандидат закінчила Донецький національний університет і отримала повну вищу освіту за спеціальністю «Правознавство» та здобула кваліфікацію </w:t>
      </w:r>
      <w:r w:rsidR="00C14D01">
        <w:rPr>
          <w:sz w:val="26"/>
          <w:szCs w:val="26"/>
        </w:rPr>
        <w:t>спеціаліста з правознавства</w:t>
      </w:r>
      <w:r>
        <w:rPr>
          <w:i/>
          <w:iCs/>
          <w:sz w:val="26"/>
          <w:szCs w:val="26"/>
        </w:rPr>
        <w:t>.</w:t>
      </w:r>
    </w:p>
    <w:p w14:paraId="2B40A666" w14:textId="2DF8E8BB" w:rsidR="00480115" w:rsidRDefault="00E45D5E">
      <w:pPr>
        <w:spacing w:line="276" w:lineRule="auto"/>
        <w:ind w:firstLine="709"/>
        <w:contextualSpacing/>
        <w:jc w:val="both"/>
        <w:rPr>
          <w:sz w:val="26"/>
          <w:szCs w:val="26"/>
        </w:rPr>
      </w:pPr>
      <w:r>
        <w:rPr>
          <w:sz w:val="26"/>
          <w:szCs w:val="26"/>
        </w:rPr>
        <w:t>Указом Президента України від 12 березня 2012 року № 193/2012 Марченко</w:t>
      </w:r>
      <w:r w:rsidR="003C482E">
        <w:rPr>
          <w:sz w:val="26"/>
          <w:szCs w:val="26"/>
        </w:rPr>
        <w:t> </w:t>
      </w:r>
      <w:r>
        <w:rPr>
          <w:sz w:val="26"/>
          <w:szCs w:val="26"/>
        </w:rPr>
        <w:t>Н.Ю. призначено на посаду судді Центрально-Міського районного суду міста Горлівки Донецької області строком на п’ять років.</w:t>
      </w:r>
    </w:p>
    <w:p w14:paraId="6A3C631B" w14:textId="7266E1CF" w:rsidR="00480115" w:rsidRDefault="00E45D5E">
      <w:pPr>
        <w:spacing w:line="276" w:lineRule="auto"/>
        <w:ind w:firstLine="709"/>
        <w:contextualSpacing/>
        <w:jc w:val="both"/>
        <w:rPr>
          <w:sz w:val="26"/>
          <w:szCs w:val="26"/>
        </w:rPr>
      </w:pPr>
      <w:r>
        <w:rPr>
          <w:sz w:val="26"/>
          <w:szCs w:val="26"/>
        </w:rPr>
        <w:t>Указом Президента України від 14 лютого 2015 року № 81/2015 Марченко Н.Ю. переведена на роботу на посаді судді Індустріального районно</w:t>
      </w:r>
      <w:r w:rsidR="000808F6">
        <w:rPr>
          <w:sz w:val="26"/>
          <w:szCs w:val="26"/>
        </w:rPr>
        <w:t>го суду міста Дніпропетровська в</w:t>
      </w:r>
      <w:r>
        <w:rPr>
          <w:sz w:val="26"/>
          <w:szCs w:val="26"/>
        </w:rPr>
        <w:t xml:space="preserve"> межах п’ятирічного строку. </w:t>
      </w:r>
    </w:p>
    <w:p w14:paraId="29B2EAA9" w14:textId="77777777" w:rsidR="00480115" w:rsidRDefault="00E45D5E">
      <w:pPr>
        <w:spacing w:line="276" w:lineRule="auto"/>
        <w:ind w:firstLine="709"/>
        <w:contextualSpacing/>
        <w:jc w:val="both"/>
        <w:rPr>
          <w:sz w:val="26"/>
          <w:szCs w:val="26"/>
        </w:rPr>
      </w:pPr>
      <w:r>
        <w:rPr>
          <w:sz w:val="26"/>
          <w:szCs w:val="26"/>
        </w:rPr>
        <w:t>Указом Президента України від 19 грудня 2018 року № 429/2018 Марченко Н.Ю. призначена на посаду судді Індустріального районного суду міста Дніпропетровська.</w:t>
      </w:r>
    </w:p>
    <w:p w14:paraId="4FE125CB" w14:textId="77777777" w:rsidR="00480115" w:rsidRDefault="00E45D5E">
      <w:pPr>
        <w:spacing w:line="276" w:lineRule="auto"/>
        <w:ind w:firstLine="709"/>
        <w:contextualSpacing/>
        <w:jc w:val="both"/>
        <w:rPr>
          <w:sz w:val="26"/>
          <w:szCs w:val="26"/>
        </w:rPr>
      </w:pPr>
      <w:r>
        <w:rPr>
          <w:sz w:val="26"/>
          <w:szCs w:val="26"/>
        </w:rPr>
        <w:t>Законом України від 26 лютого 2025 року № 4273-ІХ «Про внесення змін до Закону України «Про судоустрій і статус суддів» щодо зміни найменувань місцевих загальних судів» змінено назву Індустріального районного суду міста Дніпропетровська на  Індустріальний районний суд міста Дніпра.</w:t>
      </w:r>
    </w:p>
    <w:p w14:paraId="0B73B2C4" w14:textId="77777777" w:rsidR="00480115" w:rsidRDefault="00E45D5E">
      <w:pPr>
        <w:spacing w:line="276" w:lineRule="auto"/>
        <w:ind w:firstLine="709"/>
        <w:contextualSpacing/>
        <w:jc w:val="both"/>
        <w:rPr>
          <w:sz w:val="26"/>
          <w:szCs w:val="26"/>
        </w:rPr>
      </w:pPr>
      <w:r>
        <w:rPr>
          <w:sz w:val="26"/>
          <w:szCs w:val="26"/>
        </w:rPr>
        <w:t>Рішенням Комісії від 01 лютого 2018 року № 8/зп-18 призначено кваліфікаційне оцінювання 1790 суддів місцевих та апеляційних судів на відповідність займаній посаді, зокрема судді Індустріального районного суду міста Дніпропетровська Марченко Н.Ю.</w:t>
      </w:r>
    </w:p>
    <w:p w14:paraId="709DD0C2" w14:textId="77777777" w:rsidR="00480115" w:rsidRDefault="00E45D5E">
      <w:pPr>
        <w:spacing w:line="276" w:lineRule="auto"/>
        <w:ind w:firstLine="709"/>
        <w:contextualSpacing/>
        <w:jc w:val="both"/>
        <w:rPr>
          <w:sz w:val="26"/>
          <w:szCs w:val="26"/>
        </w:rPr>
      </w:pPr>
      <w:r>
        <w:rPr>
          <w:sz w:val="26"/>
          <w:szCs w:val="26"/>
        </w:rPr>
        <w:t>Рішенням Комісії від 16 липня 2018 року № 1190/ко-18 визначено, що суддя Індустріального районного суду міста Дніпропетровська Марченко Н.Ю. за результатами кваліфікаційного оцінювання суддів місцевих та апеляційних судів на відповідність займаній посаді набрала 838,625 бала; визнано суддю Індустріального районного суду міста Дніпропетровська Марченко Н.Ю. такою, що відповідає займаній посаді.</w:t>
      </w:r>
    </w:p>
    <w:p w14:paraId="715E8E39" w14:textId="77777777" w:rsidR="00480115" w:rsidRPr="00E50DC7" w:rsidRDefault="00480115">
      <w:pPr>
        <w:pStyle w:val="rtejustify"/>
        <w:shd w:val="clear" w:color="auto" w:fill="FFFFFF"/>
        <w:spacing w:beforeAutospacing="0" w:afterAutospacing="0" w:line="276" w:lineRule="auto"/>
        <w:ind w:firstLine="567"/>
        <w:contextualSpacing/>
        <w:jc w:val="both"/>
      </w:pPr>
    </w:p>
    <w:p w14:paraId="53830230" w14:textId="77777777" w:rsidR="00480115" w:rsidRDefault="00E45D5E">
      <w:pPr>
        <w:ind w:firstLine="708"/>
        <w:jc w:val="both"/>
        <w:rPr>
          <w:sz w:val="26"/>
          <w:szCs w:val="26"/>
        </w:rPr>
      </w:pPr>
      <w:r>
        <w:rPr>
          <w:b/>
          <w:sz w:val="26"/>
          <w:szCs w:val="26"/>
        </w:rPr>
        <w:t xml:space="preserve">Складання кваліфікаційного іспиту (встановлення відповідності кандидата критерію професійної компетентності). </w:t>
      </w:r>
    </w:p>
    <w:p w14:paraId="63F7D16A" w14:textId="77777777" w:rsidR="00480115" w:rsidRDefault="00480115">
      <w:pPr>
        <w:spacing w:line="276" w:lineRule="auto"/>
        <w:ind w:firstLine="709"/>
        <w:jc w:val="both"/>
        <w:rPr>
          <w:b/>
          <w:sz w:val="26"/>
          <w:szCs w:val="26"/>
        </w:rPr>
      </w:pPr>
    </w:p>
    <w:p w14:paraId="3529B184" w14:textId="77777777" w:rsidR="00480115" w:rsidRDefault="00E45D5E">
      <w:pPr>
        <w:shd w:val="clear" w:color="auto" w:fill="FFFFFF"/>
        <w:tabs>
          <w:tab w:val="left" w:pos="426"/>
        </w:tabs>
        <w:spacing w:line="276" w:lineRule="auto"/>
        <w:ind w:firstLine="709"/>
        <w:jc w:val="both"/>
        <w:rPr>
          <w:sz w:val="26"/>
          <w:szCs w:val="26"/>
        </w:rPr>
      </w:pPr>
      <w:r>
        <w:rPr>
          <w:sz w:val="26"/>
          <w:szCs w:val="26"/>
        </w:rPr>
        <w:t>Відповідно до статті 85 Закону та пунктів 2.1, 2.2 розділу 2 Положення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14:paraId="1B8BDEE9" w14:textId="77777777" w:rsidR="00480115" w:rsidRDefault="00E45D5E">
      <w:pPr>
        <w:shd w:val="clear" w:color="auto" w:fill="FFFFFF"/>
        <w:tabs>
          <w:tab w:val="left" w:pos="426"/>
        </w:tabs>
        <w:spacing w:line="276" w:lineRule="auto"/>
        <w:ind w:firstLine="709"/>
        <w:jc w:val="both"/>
        <w:rPr>
          <w:sz w:val="26"/>
          <w:szCs w:val="26"/>
        </w:rPr>
      </w:pPr>
      <w:r>
        <w:rPr>
          <w:sz w:val="26"/>
          <w:szCs w:val="26"/>
        </w:rPr>
        <w:lastRenderedPageBreak/>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14:paraId="5FF34ED5" w14:textId="3D10DB0F" w:rsidR="00480115" w:rsidRDefault="00E45D5E">
      <w:pPr>
        <w:shd w:val="clear" w:color="auto" w:fill="FFFFFF"/>
        <w:tabs>
          <w:tab w:val="left" w:pos="426"/>
        </w:tabs>
        <w:spacing w:line="276" w:lineRule="auto"/>
        <w:ind w:firstLine="709"/>
        <w:jc w:val="both"/>
        <w:rPr>
          <w:sz w:val="26"/>
          <w:szCs w:val="26"/>
        </w:rPr>
      </w:pPr>
      <w:r>
        <w:rPr>
          <w:sz w:val="26"/>
          <w:szCs w:val="26"/>
        </w:rPr>
        <w:t>Рішенням Комісії від 11 вересня 2024 року № 270/зп-24 (зі змінами)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w:t>
      </w:r>
      <w:r w:rsidR="003C482E">
        <w:rPr>
          <w:sz w:val="26"/>
          <w:szCs w:val="26"/>
        </w:rPr>
        <w:t> </w:t>
      </w:r>
      <w:r>
        <w:rPr>
          <w:sz w:val="26"/>
          <w:szCs w:val="26"/>
        </w:rPr>
        <w:t>94/зп-</w:t>
      </w:r>
      <w:r w:rsidR="003C482E">
        <w:rPr>
          <w:sz w:val="26"/>
          <w:szCs w:val="26"/>
        </w:rPr>
        <w:t> </w:t>
      </w:r>
      <w:r>
        <w:rPr>
          <w:sz w:val="26"/>
          <w:szCs w:val="26"/>
        </w:rPr>
        <w:t>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14243871" w14:textId="77777777" w:rsidR="00480115" w:rsidRDefault="00E45D5E">
      <w:pPr>
        <w:shd w:val="clear" w:color="auto" w:fill="FFFFFF"/>
        <w:tabs>
          <w:tab w:val="left" w:pos="426"/>
        </w:tabs>
        <w:spacing w:line="276" w:lineRule="auto"/>
        <w:ind w:firstLine="709"/>
        <w:jc w:val="both"/>
        <w:rPr>
          <w:sz w:val="26"/>
          <w:szCs w:val="26"/>
        </w:rPr>
      </w:pPr>
      <w:r>
        <w:rPr>
          <w:sz w:val="26"/>
          <w:szCs w:val="26"/>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та від 23 листопада 2023 року № 145/зп-23.</w:t>
      </w:r>
    </w:p>
    <w:p w14:paraId="4C961294" w14:textId="77777777" w:rsidR="00480115" w:rsidRDefault="00E45D5E">
      <w:pPr>
        <w:shd w:val="clear" w:color="auto" w:fill="FFFFFF"/>
        <w:tabs>
          <w:tab w:val="left" w:pos="426"/>
        </w:tabs>
        <w:spacing w:line="276" w:lineRule="auto"/>
        <w:ind w:firstLine="709"/>
        <w:jc w:val="both"/>
        <w:rPr>
          <w:sz w:val="26"/>
          <w:szCs w:val="26"/>
        </w:rPr>
      </w:pPr>
      <w:r>
        <w:rPr>
          <w:sz w:val="26"/>
          <w:szCs w:val="26"/>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34539534" w14:textId="77777777" w:rsidR="00480115" w:rsidRDefault="00E45D5E">
      <w:pPr>
        <w:shd w:val="clear" w:color="auto" w:fill="FFFFFF"/>
        <w:tabs>
          <w:tab w:val="left" w:pos="426"/>
        </w:tabs>
        <w:spacing w:line="276" w:lineRule="auto"/>
        <w:ind w:firstLine="709"/>
        <w:jc w:val="both"/>
        <w:rPr>
          <w:sz w:val="26"/>
          <w:szCs w:val="26"/>
        </w:rPr>
      </w:pPr>
      <w:r>
        <w:rPr>
          <w:sz w:val="26"/>
          <w:szCs w:val="26"/>
        </w:rPr>
        <w:t>Підпунктом 6.3.3 пункту 6.3 Положення про порядок складання кваліфікаційного іспиту та методику оцінювання кандидатів передбачено, що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14:paraId="058FB2C7" w14:textId="77777777" w:rsidR="00480115" w:rsidRDefault="00E45D5E">
      <w:pPr>
        <w:shd w:val="clear" w:color="auto" w:fill="FFFFFF"/>
        <w:tabs>
          <w:tab w:val="left" w:pos="426"/>
        </w:tabs>
        <w:spacing w:line="276" w:lineRule="auto"/>
        <w:ind w:firstLine="709"/>
        <w:jc w:val="both"/>
        <w:rPr>
          <w:sz w:val="26"/>
          <w:szCs w:val="26"/>
        </w:rPr>
      </w:pPr>
      <w:r>
        <w:rPr>
          <w:sz w:val="26"/>
          <w:szCs w:val="26"/>
        </w:rPr>
        <w:t>Рішенням Комісії від 17 квітня 2025 року № 89/зп-25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 14 вересня 2023 року № 94/зп-23 (зі змінами).</w:t>
      </w:r>
    </w:p>
    <w:p w14:paraId="74CA2952" w14:textId="77777777" w:rsidR="00480115" w:rsidRDefault="00E45D5E">
      <w:pPr>
        <w:shd w:val="clear" w:color="auto" w:fill="FFFFFF"/>
        <w:tabs>
          <w:tab w:val="left" w:pos="426"/>
        </w:tabs>
        <w:spacing w:line="276" w:lineRule="auto"/>
        <w:ind w:firstLine="709"/>
        <w:jc w:val="both"/>
        <w:rPr>
          <w:sz w:val="26"/>
          <w:szCs w:val="26"/>
        </w:rPr>
      </w:pPr>
      <w:r>
        <w:rPr>
          <w:sz w:val="26"/>
          <w:szCs w:val="26"/>
        </w:rPr>
        <w:t>Марченко Н.Ю. отримала такі результати першого етапу «Складання кваліфікаційного іспиту»:</w:t>
      </w:r>
    </w:p>
    <w:p w14:paraId="0AA0355D" w14:textId="77777777" w:rsidR="00480115" w:rsidRDefault="00480115">
      <w:pPr>
        <w:shd w:val="clear" w:color="auto" w:fill="FFFFFF"/>
        <w:tabs>
          <w:tab w:val="left" w:pos="426"/>
        </w:tabs>
        <w:spacing w:line="276" w:lineRule="auto"/>
        <w:ind w:firstLine="709"/>
        <w:jc w:val="both"/>
        <w:rPr>
          <w:sz w:val="26"/>
          <w:szCs w:val="26"/>
        </w:rPr>
      </w:pPr>
    </w:p>
    <w:tbl>
      <w:tblPr>
        <w:tblW w:w="9616" w:type="dxa"/>
        <w:tblLayout w:type="fixed"/>
        <w:tblCellMar>
          <w:top w:w="30" w:type="dxa"/>
          <w:left w:w="45" w:type="dxa"/>
          <w:bottom w:w="30" w:type="dxa"/>
          <w:right w:w="45" w:type="dxa"/>
        </w:tblCellMar>
        <w:tblLook w:val="04A0" w:firstRow="1" w:lastRow="0" w:firstColumn="1" w:lastColumn="0" w:noHBand="0" w:noVBand="1"/>
      </w:tblPr>
      <w:tblGrid>
        <w:gridCol w:w="1543"/>
        <w:gridCol w:w="5665"/>
        <w:gridCol w:w="1505"/>
        <w:gridCol w:w="903"/>
      </w:tblGrid>
      <w:tr w:rsidR="00480115" w14:paraId="0B7FCC2F" w14:textId="77777777">
        <w:trPr>
          <w:trHeight w:val="407"/>
        </w:trPr>
        <w:tc>
          <w:tcPr>
            <w:tcW w:w="1543" w:type="dxa"/>
            <w:vMerge w:val="restart"/>
            <w:tcBorders>
              <w:top w:val="single" w:sz="12" w:space="0" w:color="000000"/>
              <w:left w:val="single" w:sz="12" w:space="0" w:color="000000"/>
              <w:bottom w:val="single" w:sz="12" w:space="0" w:color="000000"/>
              <w:right w:val="single" w:sz="12" w:space="0" w:color="000000"/>
            </w:tcBorders>
            <w:vAlign w:val="center"/>
          </w:tcPr>
          <w:p w14:paraId="3F2BECF4" w14:textId="77777777" w:rsidR="00480115" w:rsidRDefault="00E45D5E">
            <w:pPr>
              <w:spacing w:line="276" w:lineRule="auto"/>
              <w:rPr>
                <w:sz w:val="22"/>
                <w:szCs w:val="22"/>
              </w:rPr>
            </w:pPr>
            <w:r>
              <w:rPr>
                <w:sz w:val="22"/>
                <w:szCs w:val="22"/>
              </w:rPr>
              <w:t>професійна компетентність</w:t>
            </w:r>
          </w:p>
        </w:tc>
        <w:tc>
          <w:tcPr>
            <w:tcW w:w="5665" w:type="dxa"/>
            <w:tcBorders>
              <w:top w:val="single" w:sz="12" w:space="0" w:color="000000"/>
              <w:left w:val="single" w:sz="12" w:space="0" w:color="000000"/>
              <w:bottom w:val="single" w:sz="12" w:space="0" w:color="000000"/>
              <w:right w:val="single" w:sz="12" w:space="0" w:color="000000"/>
            </w:tcBorders>
            <w:vAlign w:val="bottom"/>
          </w:tcPr>
          <w:p w14:paraId="132E2103" w14:textId="77777777" w:rsidR="00480115" w:rsidRDefault="00E45D5E">
            <w:pPr>
              <w:spacing w:line="276" w:lineRule="auto"/>
              <w:rPr>
                <w:sz w:val="22"/>
                <w:szCs w:val="22"/>
              </w:rPr>
            </w:pPr>
            <w:r>
              <w:rPr>
                <w:sz w:val="22"/>
                <w:szCs w:val="22"/>
              </w:rPr>
              <w:t>когнітивні здібності</w:t>
            </w:r>
          </w:p>
        </w:tc>
        <w:tc>
          <w:tcPr>
            <w:tcW w:w="1505" w:type="dxa"/>
            <w:tcBorders>
              <w:top w:val="single" w:sz="12" w:space="0" w:color="000000"/>
              <w:left w:val="single" w:sz="12" w:space="0" w:color="000000"/>
              <w:bottom w:val="single" w:sz="12" w:space="0" w:color="000000"/>
              <w:right w:val="single" w:sz="12" w:space="0" w:color="000000"/>
            </w:tcBorders>
            <w:vAlign w:val="bottom"/>
          </w:tcPr>
          <w:p w14:paraId="6BB537CB" w14:textId="77777777" w:rsidR="00480115" w:rsidRDefault="00E45D5E">
            <w:pPr>
              <w:spacing w:line="276" w:lineRule="auto"/>
              <w:jc w:val="center"/>
              <w:rPr>
                <w:sz w:val="22"/>
                <w:szCs w:val="22"/>
              </w:rPr>
            </w:pPr>
            <w:r>
              <w:rPr>
                <w:sz w:val="22"/>
                <w:szCs w:val="22"/>
              </w:rPr>
              <w:t>42,2</w:t>
            </w:r>
          </w:p>
        </w:tc>
        <w:tc>
          <w:tcPr>
            <w:tcW w:w="903" w:type="dxa"/>
            <w:vMerge w:val="restart"/>
            <w:tcBorders>
              <w:top w:val="single" w:sz="12" w:space="0" w:color="000000"/>
              <w:left w:val="single" w:sz="12" w:space="0" w:color="000000"/>
              <w:bottom w:val="single" w:sz="12" w:space="0" w:color="000000"/>
              <w:right w:val="single" w:sz="12" w:space="0" w:color="000000"/>
            </w:tcBorders>
            <w:vAlign w:val="center"/>
          </w:tcPr>
          <w:p w14:paraId="222A606F" w14:textId="77777777" w:rsidR="00480115" w:rsidRDefault="00480115">
            <w:pPr>
              <w:spacing w:line="276" w:lineRule="auto"/>
              <w:jc w:val="center"/>
              <w:rPr>
                <w:sz w:val="22"/>
                <w:szCs w:val="22"/>
              </w:rPr>
            </w:pPr>
          </w:p>
          <w:p w14:paraId="4EC23533" w14:textId="77777777" w:rsidR="00480115" w:rsidRDefault="00E45D5E">
            <w:pPr>
              <w:spacing w:line="276" w:lineRule="auto"/>
              <w:jc w:val="center"/>
              <w:rPr>
                <w:sz w:val="22"/>
                <w:szCs w:val="22"/>
              </w:rPr>
            </w:pPr>
            <w:r>
              <w:rPr>
                <w:sz w:val="22"/>
                <w:szCs w:val="22"/>
              </w:rPr>
              <w:lastRenderedPageBreak/>
              <w:t>359,2</w:t>
            </w:r>
          </w:p>
        </w:tc>
      </w:tr>
      <w:tr w:rsidR="00480115" w14:paraId="1F5EB7E7" w14:textId="77777777">
        <w:trPr>
          <w:trHeight w:val="501"/>
        </w:trPr>
        <w:tc>
          <w:tcPr>
            <w:tcW w:w="1543"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40C8D4B5" w14:textId="77777777" w:rsidR="00480115" w:rsidRDefault="00480115">
            <w:pPr>
              <w:spacing w:line="276" w:lineRule="auto"/>
              <w:rPr>
                <w:sz w:val="22"/>
                <w:szCs w:val="22"/>
              </w:rPr>
            </w:pPr>
          </w:p>
        </w:tc>
        <w:tc>
          <w:tcPr>
            <w:tcW w:w="5665" w:type="dxa"/>
            <w:tcBorders>
              <w:top w:val="single" w:sz="12" w:space="0" w:color="000000"/>
              <w:left w:val="single" w:sz="12" w:space="0" w:color="000000"/>
              <w:bottom w:val="single" w:sz="12" w:space="0" w:color="000000"/>
              <w:right w:val="single" w:sz="12" w:space="0" w:color="000000"/>
            </w:tcBorders>
            <w:vAlign w:val="bottom"/>
          </w:tcPr>
          <w:p w14:paraId="7394EEFB" w14:textId="77777777" w:rsidR="00480115" w:rsidRDefault="00E45D5E">
            <w:pPr>
              <w:spacing w:line="276" w:lineRule="auto"/>
              <w:rPr>
                <w:sz w:val="22"/>
                <w:szCs w:val="22"/>
              </w:rPr>
            </w:pPr>
            <w:r>
              <w:rPr>
                <w:sz w:val="22"/>
                <w:szCs w:val="22"/>
              </w:rPr>
              <w:t>знання історії української державності</w:t>
            </w:r>
          </w:p>
        </w:tc>
        <w:tc>
          <w:tcPr>
            <w:tcW w:w="1505" w:type="dxa"/>
            <w:tcBorders>
              <w:top w:val="single" w:sz="12" w:space="0" w:color="000000"/>
              <w:left w:val="single" w:sz="12" w:space="0" w:color="000000"/>
              <w:bottom w:val="single" w:sz="12" w:space="0" w:color="000000"/>
              <w:right w:val="single" w:sz="12" w:space="0" w:color="000000"/>
            </w:tcBorders>
            <w:vAlign w:val="center"/>
          </w:tcPr>
          <w:p w14:paraId="33A0FB1C" w14:textId="77777777" w:rsidR="00480115" w:rsidRDefault="00E45D5E">
            <w:pPr>
              <w:spacing w:line="276" w:lineRule="auto"/>
              <w:jc w:val="center"/>
              <w:rPr>
                <w:sz w:val="22"/>
                <w:szCs w:val="22"/>
              </w:rPr>
            </w:pPr>
            <w:r>
              <w:rPr>
                <w:sz w:val="22"/>
                <w:szCs w:val="22"/>
              </w:rPr>
              <w:t>40</w:t>
            </w:r>
          </w:p>
        </w:tc>
        <w:tc>
          <w:tcPr>
            <w:tcW w:w="903"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41CE389D" w14:textId="77777777" w:rsidR="00480115" w:rsidRDefault="00480115">
            <w:pPr>
              <w:spacing w:line="276" w:lineRule="auto"/>
              <w:rPr>
                <w:sz w:val="22"/>
                <w:szCs w:val="22"/>
              </w:rPr>
            </w:pPr>
          </w:p>
        </w:tc>
      </w:tr>
      <w:tr w:rsidR="00480115" w14:paraId="52E03698" w14:textId="77777777">
        <w:trPr>
          <w:trHeight w:val="427"/>
        </w:trPr>
        <w:tc>
          <w:tcPr>
            <w:tcW w:w="1543"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0FC1DCBB" w14:textId="77777777" w:rsidR="00480115" w:rsidRDefault="00480115">
            <w:pPr>
              <w:spacing w:line="276" w:lineRule="auto"/>
              <w:rPr>
                <w:sz w:val="22"/>
                <w:szCs w:val="22"/>
              </w:rPr>
            </w:pPr>
          </w:p>
        </w:tc>
        <w:tc>
          <w:tcPr>
            <w:tcW w:w="5665" w:type="dxa"/>
            <w:tcBorders>
              <w:top w:val="single" w:sz="12" w:space="0" w:color="000000"/>
              <w:left w:val="single" w:sz="12" w:space="0" w:color="000000"/>
              <w:bottom w:val="single" w:sz="12" w:space="0" w:color="000000"/>
              <w:right w:val="single" w:sz="12" w:space="0" w:color="000000"/>
            </w:tcBorders>
            <w:vAlign w:val="bottom"/>
          </w:tcPr>
          <w:p w14:paraId="1B3DB42C" w14:textId="77777777" w:rsidR="00480115" w:rsidRDefault="00E45D5E">
            <w:pPr>
              <w:spacing w:line="276" w:lineRule="auto"/>
              <w:rPr>
                <w:sz w:val="22"/>
                <w:szCs w:val="22"/>
              </w:rPr>
            </w:pPr>
            <w:r>
              <w:rPr>
                <w:sz w:val="22"/>
                <w:szCs w:val="22"/>
              </w:rPr>
              <w:t>знання у сфері права та зі спеціалізації суду</w:t>
            </w:r>
          </w:p>
        </w:tc>
        <w:tc>
          <w:tcPr>
            <w:tcW w:w="1505" w:type="dxa"/>
            <w:tcBorders>
              <w:top w:val="single" w:sz="12" w:space="0" w:color="000000"/>
              <w:left w:val="single" w:sz="12" w:space="0" w:color="000000"/>
              <w:bottom w:val="single" w:sz="12" w:space="0" w:color="000000"/>
              <w:right w:val="single" w:sz="12" w:space="0" w:color="000000"/>
            </w:tcBorders>
            <w:vAlign w:val="bottom"/>
          </w:tcPr>
          <w:p w14:paraId="2935C557" w14:textId="77777777" w:rsidR="00480115" w:rsidRDefault="00E45D5E">
            <w:pPr>
              <w:spacing w:line="276" w:lineRule="auto"/>
              <w:jc w:val="center"/>
              <w:rPr>
                <w:sz w:val="22"/>
                <w:szCs w:val="22"/>
              </w:rPr>
            </w:pPr>
            <w:r>
              <w:rPr>
                <w:sz w:val="22"/>
                <w:szCs w:val="22"/>
              </w:rPr>
              <w:t>146</w:t>
            </w:r>
          </w:p>
        </w:tc>
        <w:tc>
          <w:tcPr>
            <w:tcW w:w="903"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0EE06DC7" w14:textId="77777777" w:rsidR="00480115" w:rsidRDefault="00480115">
            <w:pPr>
              <w:spacing w:line="276" w:lineRule="auto"/>
              <w:rPr>
                <w:sz w:val="22"/>
                <w:szCs w:val="22"/>
              </w:rPr>
            </w:pPr>
          </w:p>
        </w:tc>
      </w:tr>
      <w:tr w:rsidR="00480115" w14:paraId="79A4A385" w14:textId="77777777">
        <w:trPr>
          <w:trHeight w:val="619"/>
        </w:trPr>
        <w:tc>
          <w:tcPr>
            <w:tcW w:w="1543"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7E9B541C" w14:textId="77777777" w:rsidR="00480115" w:rsidRDefault="00480115">
            <w:pPr>
              <w:spacing w:line="276" w:lineRule="auto"/>
              <w:rPr>
                <w:sz w:val="22"/>
                <w:szCs w:val="22"/>
              </w:rPr>
            </w:pPr>
          </w:p>
        </w:tc>
        <w:tc>
          <w:tcPr>
            <w:tcW w:w="5665" w:type="dxa"/>
            <w:tcBorders>
              <w:top w:val="single" w:sz="12" w:space="0" w:color="000000"/>
              <w:left w:val="single" w:sz="12" w:space="0" w:color="000000"/>
              <w:bottom w:val="single" w:sz="12" w:space="0" w:color="000000"/>
              <w:right w:val="single" w:sz="12" w:space="0" w:color="000000"/>
            </w:tcBorders>
            <w:vAlign w:val="bottom"/>
          </w:tcPr>
          <w:p w14:paraId="27F6AFC8" w14:textId="77777777" w:rsidR="00480115" w:rsidRDefault="00E45D5E">
            <w:pPr>
              <w:spacing w:line="276" w:lineRule="auto"/>
              <w:rPr>
                <w:sz w:val="22"/>
                <w:szCs w:val="22"/>
              </w:rPr>
            </w:pPr>
            <w:r>
              <w:rPr>
                <w:sz w:val="22"/>
                <w:szCs w:val="22"/>
              </w:rPr>
              <w:t>здатність практичного застосування знань у сфері права у суді відповідного рівня та спеціалізації</w:t>
            </w:r>
          </w:p>
        </w:tc>
        <w:tc>
          <w:tcPr>
            <w:tcW w:w="1505" w:type="dxa"/>
            <w:tcBorders>
              <w:top w:val="single" w:sz="12" w:space="0" w:color="000000"/>
              <w:left w:val="single" w:sz="12" w:space="0" w:color="000000"/>
              <w:bottom w:val="single" w:sz="12" w:space="0" w:color="000000"/>
              <w:right w:val="single" w:sz="12" w:space="0" w:color="000000"/>
            </w:tcBorders>
            <w:vAlign w:val="bottom"/>
          </w:tcPr>
          <w:p w14:paraId="3DC25E01" w14:textId="77777777" w:rsidR="00480115" w:rsidRDefault="00E45D5E">
            <w:pPr>
              <w:spacing w:line="276" w:lineRule="auto"/>
              <w:jc w:val="center"/>
            </w:pPr>
            <w:r>
              <w:t>131</w:t>
            </w:r>
          </w:p>
        </w:tc>
        <w:tc>
          <w:tcPr>
            <w:tcW w:w="903"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649D17BD" w14:textId="77777777" w:rsidR="00480115" w:rsidRDefault="00480115">
            <w:pPr>
              <w:spacing w:line="276" w:lineRule="auto"/>
              <w:rPr>
                <w:sz w:val="22"/>
                <w:szCs w:val="22"/>
              </w:rPr>
            </w:pPr>
          </w:p>
        </w:tc>
      </w:tr>
    </w:tbl>
    <w:p w14:paraId="3C221ACE" w14:textId="77777777" w:rsidR="00480115" w:rsidRDefault="00480115">
      <w:pPr>
        <w:shd w:val="clear" w:color="auto" w:fill="FFFFFF"/>
        <w:tabs>
          <w:tab w:val="left" w:pos="426"/>
        </w:tabs>
        <w:spacing w:line="276" w:lineRule="auto"/>
        <w:jc w:val="both"/>
        <w:rPr>
          <w:sz w:val="26"/>
          <w:szCs w:val="26"/>
        </w:rPr>
      </w:pPr>
    </w:p>
    <w:p w14:paraId="036B237C" w14:textId="77777777" w:rsidR="00480115" w:rsidRDefault="00E45D5E">
      <w:pPr>
        <w:shd w:val="clear" w:color="auto" w:fill="FFFFFF"/>
        <w:tabs>
          <w:tab w:val="left" w:pos="426"/>
        </w:tabs>
        <w:spacing w:line="276" w:lineRule="auto"/>
        <w:ind w:firstLine="709"/>
        <w:jc w:val="both"/>
        <w:rPr>
          <w:sz w:val="26"/>
          <w:szCs w:val="26"/>
        </w:rPr>
      </w:pPr>
      <w:r>
        <w:rPr>
          <w:sz w:val="26"/>
          <w:szCs w:val="26"/>
        </w:rPr>
        <w:t>Отже, кількість балів, отриманих Марченко Н.Ю. за кваліфікаційний іспит, свідчить про її відповідність критерію професійної компетентності.</w:t>
      </w:r>
    </w:p>
    <w:p w14:paraId="403D0CEF" w14:textId="77777777" w:rsidR="00480115" w:rsidRDefault="00480115">
      <w:pPr>
        <w:spacing w:line="276" w:lineRule="auto"/>
        <w:ind w:firstLine="709"/>
        <w:jc w:val="both"/>
        <w:rPr>
          <w:b/>
          <w:sz w:val="26"/>
          <w:szCs w:val="26"/>
        </w:rPr>
      </w:pPr>
    </w:p>
    <w:p w14:paraId="01261235" w14:textId="77777777" w:rsidR="00480115" w:rsidRDefault="00E45D5E">
      <w:pPr>
        <w:spacing w:line="276" w:lineRule="auto"/>
        <w:ind w:firstLine="709"/>
        <w:jc w:val="both"/>
        <w:rPr>
          <w:b/>
          <w:sz w:val="26"/>
          <w:szCs w:val="26"/>
        </w:rPr>
      </w:pPr>
      <w:r>
        <w:rPr>
          <w:b/>
          <w:sz w:val="26"/>
          <w:szCs w:val="26"/>
        </w:rPr>
        <w:t xml:space="preserve">Проведення спеціальної перевірки. </w:t>
      </w:r>
    </w:p>
    <w:p w14:paraId="2C952584" w14:textId="77777777" w:rsidR="00480115" w:rsidRDefault="00480115">
      <w:pPr>
        <w:spacing w:line="276" w:lineRule="auto"/>
        <w:ind w:firstLine="709"/>
        <w:jc w:val="both"/>
        <w:rPr>
          <w:sz w:val="26"/>
          <w:szCs w:val="26"/>
        </w:rPr>
      </w:pPr>
    </w:p>
    <w:p w14:paraId="70CCFD83" w14:textId="77777777" w:rsidR="00480115" w:rsidRDefault="00E45D5E">
      <w:pPr>
        <w:shd w:val="clear" w:color="auto" w:fill="FFFFFF"/>
        <w:tabs>
          <w:tab w:val="left" w:pos="426"/>
        </w:tabs>
        <w:spacing w:line="276" w:lineRule="auto"/>
        <w:ind w:firstLine="709"/>
        <w:jc w:val="both"/>
        <w:rPr>
          <w:sz w:val="26"/>
          <w:szCs w:val="26"/>
        </w:rPr>
      </w:pPr>
      <w:r>
        <w:rPr>
          <w:sz w:val="26"/>
          <w:szCs w:val="26"/>
        </w:rPr>
        <w:t>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Вищою кваліфікаційною комісією суддів України організовано проведення спеціальної перевірки стосовно Марченко Н.Ю.</w:t>
      </w:r>
    </w:p>
    <w:p w14:paraId="032677A7" w14:textId="77777777" w:rsidR="00480115" w:rsidRDefault="00E45D5E">
      <w:pPr>
        <w:shd w:val="clear" w:color="auto" w:fill="FFFFFF"/>
        <w:tabs>
          <w:tab w:val="left" w:pos="426"/>
        </w:tabs>
        <w:spacing w:line="276" w:lineRule="auto"/>
        <w:ind w:firstLine="709"/>
        <w:jc w:val="both"/>
        <w:rPr>
          <w:sz w:val="26"/>
          <w:szCs w:val="26"/>
        </w:rPr>
      </w:pPr>
      <w:r>
        <w:rPr>
          <w:sz w:val="26"/>
          <w:szCs w:val="26"/>
        </w:rPr>
        <w:t>Запити про надання відомостей стосовно кандидата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(далі – НАЗК), Національної комісії з цінних паперів та фондового ринку, Департаменту кримінального аналізу Національної поліції України.</w:t>
      </w:r>
    </w:p>
    <w:p w14:paraId="75C8F07F" w14:textId="77777777" w:rsidR="00480115" w:rsidRDefault="00E45D5E">
      <w:pPr>
        <w:shd w:val="clear" w:color="auto" w:fill="FFFFFF"/>
        <w:tabs>
          <w:tab w:val="left" w:pos="426"/>
        </w:tabs>
        <w:spacing w:line="276" w:lineRule="auto"/>
        <w:ind w:firstLine="709"/>
        <w:jc w:val="both"/>
        <w:rPr>
          <w:sz w:val="26"/>
          <w:szCs w:val="26"/>
        </w:rPr>
      </w:pPr>
      <w:r>
        <w:rPr>
          <w:sz w:val="26"/>
          <w:szCs w:val="26"/>
        </w:rPr>
        <w:t>Крім того, у Єдиному державному реєстрі судових рішень (далі – ЄДРСР) перевірено відомості про кандидата на предмет обмеження дієздатності або недієздатності.</w:t>
      </w:r>
    </w:p>
    <w:p w14:paraId="38BF2622" w14:textId="77777777" w:rsidR="00480115" w:rsidRDefault="00E45D5E">
      <w:pPr>
        <w:shd w:val="clear" w:color="auto" w:fill="FFFFFF"/>
        <w:tabs>
          <w:tab w:val="left" w:pos="426"/>
        </w:tabs>
        <w:spacing w:line="276" w:lineRule="auto"/>
        <w:ind w:firstLine="709"/>
        <w:jc w:val="both"/>
        <w:rPr>
          <w:sz w:val="26"/>
          <w:szCs w:val="26"/>
        </w:rPr>
      </w:pPr>
      <w:r>
        <w:rPr>
          <w:sz w:val="26"/>
          <w:szCs w:val="26"/>
        </w:rPr>
        <w:t>Комісією отримано відповіді від уповноважених державних органів із інформацією стосовно кандидата на посаду судді апеляційного загального суду.</w:t>
      </w:r>
    </w:p>
    <w:p w14:paraId="1826C9A2" w14:textId="77777777" w:rsidR="00480115" w:rsidRDefault="00E45D5E">
      <w:pPr>
        <w:shd w:val="clear" w:color="auto" w:fill="FFFFFF"/>
        <w:tabs>
          <w:tab w:val="left" w:pos="426"/>
        </w:tabs>
        <w:spacing w:line="276" w:lineRule="auto"/>
        <w:ind w:firstLine="709"/>
        <w:jc w:val="both"/>
        <w:rPr>
          <w:sz w:val="26"/>
          <w:szCs w:val="26"/>
        </w:rPr>
      </w:pPr>
      <w:r>
        <w:rPr>
          <w:sz w:val="26"/>
          <w:szCs w:val="26"/>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довідку про спеціальну перевірку.</w:t>
      </w:r>
    </w:p>
    <w:p w14:paraId="2312192E" w14:textId="77777777" w:rsidR="00480115" w:rsidRDefault="00E45D5E">
      <w:pPr>
        <w:shd w:val="clear" w:color="auto" w:fill="FFFFFF"/>
        <w:tabs>
          <w:tab w:val="left" w:pos="426"/>
        </w:tabs>
        <w:spacing w:line="276" w:lineRule="auto"/>
        <w:ind w:firstLine="709"/>
        <w:jc w:val="both"/>
        <w:rPr>
          <w:sz w:val="26"/>
          <w:szCs w:val="26"/>
        </w:rPr>
      </w:pPr>
      <w:r>
        <w:rPr>
          <w:sz w:val="26"/>
          <w:szCs w:val="26"/>
        </w:rPr>
        <w:t>Під час проведення спеціальної перевірки не отримано інформації, яка свідчить про невідповідність Марченко Н.Ю. вимогам до кандидата на посаду судді.</w:t>
      </w:r>
    </w:p>
    <w:p w14:paraId="085CBE93" w14:textId="77777777" w:rsidR="00480115" w:rsidRDefault="00E45D5E">
      <w:pPr>
        <w:shd w:val="clear" w:color="auto" w:fill="FFFFFF"/>
        <w:tabs>
          <w:tab w:val="left" w:pos="426"/>
        </w:tabs>
        <w:spacing w:line="276" w:lineRule="auto"/>
        <w:ind w:firstLine="709"/>
        <w:jc w:val="both"/>
        <w:rPr>
          <w:sz w:val="26"/>
          <w:szCs w:val="26"/>
        </w:rPr>
      </w:pPr>
      <w:r>
        <w:rPr>
          <w:sz w:val="26"/>
          <w:szCs w:val="26"/>
        </w:rPr>
        <w:t>Результати спеціальної перевірки враховуються Комісією при встановленні відповідності кандидата критеріям доброчесності та професійної етики.</w:t>
      </w:r>
    </w:p>
    <w:p w14:paraId="6907BE1B" w14:textId="77777777" w:rsidR="00480115" w:rsidRDefault="00480115">
      <w:pPr>
        <w:shd w:val="clear" w:color="auto" w:fill="FFFFFF"/>
        <w:tabs>
          <w:tab w:val="left" w:pos="426"/>
        </w:tabs>
        <w:spacing w:line="276" w:lineRule="auto"/>
        <w:ind w:firstLine="709"/>
        <w:jc w:val="both"/>
        <w:rPr>
          <w:sz w:val="26"/>
          <w:szCs w:val="26"/>
        </w:rPr>
      </w:pPr>
    </w:p>
    <w:p w14:paraId="6914EE31" w14:textId="77777777" w:rsidR="00480115" w:rsidRDefault="00E45D5E">
      <w:pPr>
        <w:spacing w:line="276" w:lineRule="auto"/>
        <w:ind w:firstLine="709"/>
        <w:jc w:val="both"/>
        <w:rPr>
          <w:b/>
          <w:sz w:val="26"/>
          <w:szCs w:val="26"/>
        </w:rPr>
      </w:pPr>
      <w:r>
        <w:rPr>
          <w:b/>
          <w:sz w:val="26"/>
          <w:szCs w:val="26"/>
        </w:rPr>
        <w:lastRenderedPageBreak/>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критеріям доброчесності та професійної етики).</w:t>
      </w:r>
    </w:p>
    <w:p w14:paraId="6302CC94" w14:textId="77777777" w:rsidR="00480115" w:rsidRDefault="00480115">
      <w:pPr>
        <w:shd w:val="clear" w:color="auto" w:fill="FFFFFF"/>
        <w:tabs>
          <w:tab w:val="left" w:pos="426"/>
        </w:tabs>
        <w:spacing w:line="276" w:lineRule="auto"/>
        <w:ind w:firstLine="709"/>
        <w:jc w:val="both"/>
        <w:rPr>
          <w:sz w:val="26"/>
          <w:szCs w:val="26"/>
        </w:rPr>
      </w:pPr>
    </w:p>
    <w:p w14:paraId="7D6F307D" w14:textId="77777777" w:rsidR="00480115" w:rsidRDefault="00E45D5E">
      <w:pPr>
        <w:shd w:val="clear" w:color="auto" w:fill="FFFFFF"/>
        <w:tabs>
          <w:tab w:val="left" w:pos="426"/>
        </w:tabs>
        <w:spacing w:line="276" w:lineRule="auto"/>
        <w:ind w:firstLine="709"/>
        <w:jc w:val="both"/>
        <w:rPr>
          <w:sz w:val="26"/>
          <w:szCs w:val="26"/>
        </w:rPr>
      </w:pPr>
      <w:r>
        <w:rPr>
          <w:sz w:val="26"/>
          <w:szCs w:val="26"/>
        </w:rPr>
        <w:t xml:space="preserve">Згідно з 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допущено 706 кандидатів на посади суддів апеляційних загальних судів, які успішно склали кваліфікаційний іспит, зокрема Марченко Н.Ю. </w:t>
      </w:r>
    </w:p>
    <w:p w14:paraId="2DA42CBD" w14:textId="77777777" w:rsidR="00480115" w:rsidRDefault="00E45D5E">
      <w:pPr>
        <w:shd w:val="clear" w:color="auto" w:fill="FFFFFF"/>
        <w:tabs>
          <w:tab w:val="left" w:pos="426"/>
        </w:tabs>
        <w:spacing w:line="276" w:lineRule="auto"/>
        <w:ind w:firstLine="709"/>
        <w:jc w:val="both"/>
        <w:rPr>
          <w:sz w:val="26"/>
          <w:szCs w:val="26"/>
        </w:rPr>
      </w:pPr>
      <w:r>
        <w:rPr>
          <w:sz w:val="26"/>
          <w:szCs w:val="26"/>
        </w:rPr>
        <w:t>Рішенням Комісії від 30 липня 2025 року № 143/зп-25 визначено, що другий етап «Дослідження досьє та проведення співбесіди» кваліфікаційного оцінювання, зокрема, кандидатів на посади суддів Дніпровського апеляційного суду в межах конкурсу, оголошеного рішенням Комісії від 14 вересня 2023 року № 94/зп-23 (зі змінами), проводиться Вищою кваліфікаційною комісією суддів України у складі постійної колегії № 1.</w:t>
      </w:r>
    </w:p>
    <w:p w14:paraId="0E5515C5" w14:textId="1718D91D" w:rsidR="00480115" w:rsidRDefault="00E45D5E">
      <w:pPr>
        <w:shd w:val="clear" w:color="auto" w:fill="FFFFFF"/>
        <w:tabs>
          <w:tab w:val="left" w:pos="426"/>
        </w:tabs>
        <w:spacing w:line="276" w:lineRule="auto"/>
        <w:ind w:firstLine="709"/>
        <w:jc w:val="both"/>
        <w:rPr>
          <w:sz w:val="26"/>
          <w:szCs w:val="26"/>
        </w:rPr>
      </w:pPr>
      <w:r>
        <w:rPr>
          <w:sz w:val="26"/>
          <w:szCs w:val="26"/>
        </w:rPr>
        <w:t>Відповідно до протоколу повторного розподілу між членами Комісії від</w:t>
      </w:r>
      <w:r w:rsidR="003C482E">
        <w:rPr>
          <w:sz w:val="26"/>
          <w:szCs w:val="26"/>
        </w:rPr>
        <w:t> </w:t>
      </w:r>
      <w:r>
        <w:rPr>
          <w:sz w:val="26"/>
          <w:szCs w:val="26"/>
          <w:lang w:val="ru-RU"/>
        </w:rPr>
        <w:t>01</w:t>
      </w:r>
      <w:r w:rsidR="003C482E">
        <w:rPr>
          <w:sz w:val="26"/>
          <w:szCs w:val="26"/>
        </w:rPr>
        <w:t> </w:t>
      </w:r>
      <w:r>
        <w:rPr>
          <w:sz w:val="26"/>
          <w:szCs w:val="26"/>
        </w:rPr>
        <w:t>серпня 2025 року за результатами розгляду матеріалів кандидата на посаду судді апеляційного загального суду Марченко Н.Ю. доповідачем визначено члена Комісії Богоноса М.Б.</w:t>
      </w:r>
    </w:p>
    <w:p w14:paraId="7130E880" w14:textId="77777777" w:rsidR="00480115" w:rsidRDefault="00E45D5E">
      <w:pPr>
        <w:shd w:val="clear" w:color="auto" w:fill="FFFFFF"/>
        <w:tabs>
          <w:tab w:val="left" w:pos="426"/>
        </w:tabs>
        <w:spacing w:line="276" w:lineRule="auto"/>
        <w:ind w:firstLine="709"/>
        <w:jc w:val="both"/>
        <w:rPr>
          <w:sz w:val="26"/>
          <w:szCs w:val="26"/>
        </w:rPr>
      </w:pPr>
      <w:r>
        <w:rPr>
          <w:sz w:val="26"/>
          <w:szCs w:val="26"/>
        </w:rPr>
        <w:t>Комісією в межах наданих повноважень надіслано запити до таких органів державної влади: Міністерства юстиції України, Національного антикорупційного бюро України, НАЗК, Національної поліції України, Офісу Генерального прокурора, Служби безпеки України.</w:t>
      </w:r>
    </w:p>
    <w:p w14:paraId="7C5470B4" w14:textId="77777777" w:rsidR="00480115" w:rsidRDefault="00E45D5E">
      <w:pPr>
        <w:shd w:val="clear" w:color="auto" w:fill="FFFFFF"/>
        <w:tabs>
          <w:tab w:val="left" w:pos="426"/>
        </w:tabs>
        <w:spacing w:line="276" w:lineRule="auto"/>
        <w:ind w:firstLine="709"/>
        <w:jc w:val="both"/>
        <w:rPr>
          <w:sz w:val="26"/>
          <w:szCs w:val="26"/>
        </w:rPr>
      </w:pPr>
      <w:r>
        <w:rPr>
          <w:sz w:val="26"/>
          <w:szCs w:val="26"/>
        </w:rPr>
        <w:t>У відповідь на запити отримано інформацію стосовно кандидата, яку долучено до матеріалів досьє.</w:t>
      </w:r>
    </w:p>
    <w:p w14:paraId="4E74B37C" w14:textId="77777777" w:rsidR="00480115" w:rsidRDefault="00E45D5E">
      <w:pPr>
        <w:shd w:val="clear" w:color="auto" w:fill="FFFFFF"/>
        <w:tabs>
          <w:tab w:val="left" w:pos="426"/>
        </w:tabs>
        <w:spacing w:line="276" w:lineRule="auto"/>
        <w:ind w:firstLine="709"/>
        <w:jc w:val="both"/>
        <w:rPr>
          <w:sz w:val="26"/>
          <w:szCs w:val="26"/>
        </w:rPr>
      </w:pPr>
      <w:r>
        <w:rPr>
          <w:sz w:val="26"/>
          <w:szCs w:val="26"/>
        </w:rPr>
        <w:t>Комісія 06 серпня 2025 року надіслала кандидату на посаду судді апеляційного загального суду листа № 21-6808/25, у якому запропонувала надати для долучення до досьє та оцінювання під час співбесіди пояснення та докази (за наявності), які, на думку кандидата, підтверджують її відповідність критеріям особистої та соціальної компетентності.</w:t>
      </w:r>
    </w:p>
    <w:p w14:paraId="6E166CE4" w14:textId="77777777" w:rsidR="00480115" w:rsidRDefault="00E45D5E">
      <w:pPr>
        <w:shd w:val="clear" w:color="auto" w:fill="FFFFFF"/>
        <w:tabs>
          <w:tab w:val="left" w:pos="567"/>
        </w:tabs>
        <w:spacing w:line="276" w:lineRule="auto"/>
        <w:ind w:firstLine="709"/>
        <w:jc w:val="both"/>
        <w:rPr>
          <w:sz w:val="26"/>
          <w:szCs w:val="26"/>
        </w:rPr>
      </w:pPr>
      <w:r>
        <w:rPr>
          <w:sz w:val="26"/>
          <w:szCs w:val="26"/>
        </w:rPr>
        <w:t>До Комісії</w:t>
      </w:r>
      <w:r w:rsidRPr="00E50DC7">
        <w:rPr>
          <w:sz w:val="26"/>
          <w:szCs w:val="26"/>
          <w:lang w:val="ru-RU"/>
        </w:rPr>
        <w:t xml:space="preserve"> </w:t>
      </w:r>
      <w:r>
        <w:rPr>
          <w:sz w:val="26"/>
          <w:szCs w:val="26"/>
        </w:rPr>
        <w:t>21 серпня 2025 року надійшли пояснення Марченко Н.Ю. (на виконання листа Комісії від 06 серпня 2025 року № 21-6808/25). Кандидат надала інформацію, яка, на її думку, підтверджує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w:t>
      </w:r>
    </w:p>
    <w:p w14:paraId="6D5C66A7" w14:textId="77777777" w:rsidR="00480115" w:rsidRDefault="00E45D5E">
      <w:pPr>
        <w:shd w:val="clear" w:color="auto" w:fill="FFFFFF"/>
        <w:tabs>
          <w:tab w:val="left" w:pos="567"/>
        </w:tabs>
        <w:spacing w:line="276" w:lineRule="auto"/>
        <w:ind w:firstLine="709"/>
        <w:jc w:val="both"/>
        <w:rPr>
          <w:sz w:val="26"/>
          <w:szCs w:val="26"/>
        </w:rPr>
      </w:pPr>
      <w:r>
        <w:rPr>
          <w:sz w:val="26"/>
          <w:szCs w:val="26"/>
        </w:rPr>
        <w:t xml:space="preserve">Під час підготовки до співбесіди доповідачем надіслано запит до Індустріального районного суду міста Дніпра щодо надання інформації про суддівську діяльність Марченко Н.Ю. </w:t>
      </w:r>
    </w:p>
    <w:p w14:paraId="0CDB103A" w14:textId="77777777" w:rsidR="00480115" w:rsidRDefault="00E45D5E">
      <w:pPr>
        <w:shd w:val="clear" w:color="auto" w:fill="FFFFFF"/>
        <w:tabs>
          <w:tab w:val="left" w:pos="567"/>
        </w:tabs>
        <w:spacing w:line="276" w:lineRule="auto"/>
        <w:ind w:firstLine="709"/>
        <w:jc w:val="both"/>
        <w:rPr>
          <w:sz w:val="26"/>
          <w:szCs w:val="26"/>
        </w:rPr>
      </w:pPr>
      <w:r>
        <w:rPr>
          <w:sz w:val="26"/>
          <w:szCs w:val="26"/>
        </w:rPr>
        <w:t>У відповідь на вказаний запит надано інформацію, яку долучено до матеріалів досьє.</w:t>
      </w:r>
    </w:p>
    <w:p w14:paraId="4B0A48C7" w14:textId="77777777" w:rsidR="00480115" w:rsidRDefault="00E45D5E">
      <w:pPr>
        <w:shd w:val="clear" w:color="auto" w:fill="FFFFFF"/>
        <w:tabs>
          <w:tab w:val="left" w:pos="567"/>
        </w:tabs>
        <w:spacing w:line="276" w:lineRule="auto"/>
        <w:ind w:firstLine="709"/>
        <w:jc w:val="both"/>
        <w:rPr>
          <w:sz w:val="26"/>
          <w:szCs w:val="26"/>
        </w:rPr>
      </w:pPr>
      <w:r>
        <w:rPr>
          <w:sz w:val="26"/>
          <w:szCs w:val="26"/>
        </w:rPr>
        <w:lastRenderedPageBreak/>
        <w:t>До Комісії 04 червня 2026 року надійшло рішення Громадської ради доброчесності (далі – ГРД) про надання інформації, затверджене 04 червня 2026 року.</w:t>
      </w:r>
    </w:p>
    <w:p w14:paraId="6496CD9C" w14:textId="77777777" w:rsidR="00480115" w:rsidRDefault="00E45D5E">
      <w:pPr>
        <w:spacing w:line="276" w:lineRule="auto"/>
        <w:ind w:firstLine="709"/>
        <w:jc w:val="both"/>
        <w:rPr>
          <w:sz w:val="26"/>
          <w:szCs w:val="26"/>
        </w:rPr>
      </w:pPr>
      <w:r>
        <w:rPr>
          <w:sz w:val="26"/>
          <w:szCs w:val="26"/>
        </w:rPr>
        <w:t>Членом Комісії – доповідачем зазначене рішення надіслано кандидату (лист від 04 червня 2026 року № 32дпс-1222/23/4) та запропоновано надати пояснення, документи чи іншу інформацію, яка доповнює, спростовує або уточнює обставини, викладені в ньому.</w:t>
      </w:r>
    </w:p>
    <w:p w14:paraId="085AD947" w14:textId="77777777" w:rsidR="00480115" w:rsidRDefault="00E45D5E">
      <w:pPr>
        <w:spacing w:line="276" w:lineRule="auto"/>
        <w:ind w:firstLine="709"/>
        <w:jc w:val="both"/>
        <w:rPr>
          <w:sz w:val="26"/>
          <w:szCs w:val="26"/>
        </w:rPr>
      </w:pPr>
      <w:r>
        <w:rPr>
          <w:sz w:val="26"/>
          <w:szCs w:val="26"/>
        </w:rPr>
        <w:t>До Комісії 25</w:t>
      </w:r>
      <w:r>
        <w:rPr>
          <w:bCs/>
          <w:sz w:val="26"/>
          <w:szCs w:val="26"/>
        </w:rPr>
        <w:t xml:space="preserve"> червня 2026 року</w:t>
      </w:r>
      <w:r>
        <w:rPr>
          <w:sz w:val="26"/>
          <w:szCs w:val="26"/>
        </w:rPr>
        <w:t xml:space="preserve"> надійшли пояснення кандидата щодо обставин, викладених в інформації ГРД, та копії відповідних документів.</w:t>
      </w:r>
    </w:p>
    <w:p w14:paraId="204E3915" w14:textId="77777777" w:rsidR="00480115" w:rsidRDefault="00E45D5E">
      <w:pPr>
        <w:spacing w:line="276" w:lineRule="auto"/>
        <w:ind w:firstLine="709"/>
        <w:jc w:val="both"/>
        <w:rPr>
          <w:sz w:val="26"/>
          <w:szCs w:val="26"/>
        </w:rPr>
      </w:pPr>
      <w:r>
        <w:rPr>
          <w:sz w:val="26"/>
          <w:szCs w:val="26"/>
        </w:rPr>
        <w:t>Марченко Н.Ю. було надано можливість ознайомитись із досьє кандидата на посаду судді.</w:t>
      </w:r>
    </w:p>
    <w:p w14:paraId="73F0AE9F" w14:textId="77777777" w:rsidR="00480115" w:rsidRDefault="00E45D5E">
      <w:pPr>
        <w:spacing w:line="276" w:lineRule="auto"/>
        <w:ind w:firstLine="709"/>
        <w:jc w:val="both"/>
        <w:rPr>
          <w:sz w:val="26"/>
          <w:szCs w:val="26"/>
        </w:rPr>
      </w:pPr>
      <w:r>
        <w:rPr>
          <w:sz w:val="26"/>
          <w:szCs w:val="26"/>
        </w:rPr>
        <w:t>Співбесіду з Марченко Н.Ю. проведено 03 липня 2026 року. На початку співбесіди кандидата ознайомлено з її правами, встановлено відсутність обставин, що перешкоджають проведенню співбесіди. Кандидату також запропоновано надавати додаткову інформацію в разі виявлення неточностей чи неповноти відомостей за результатами дослідження досьє.</w:t>
      </w:r>
    </w:p>
    <w:p w14:paraId="7367FB5A" w14:textId="77777777" w:rsidR="00480115" w:rsidRDefault="00E45D5E">
      <w:pPr>
        <w:spacing w:line="276" w:lineRule="auto"/>
        <w:ind w:firstLine="709"/>
        <w:jc w:val="both"/>
        <w:rPr>
          <w:sz w:val="26"/>
          <w:szCs w:val="26"/>
        </w:rPr>
      </w:pPr>
      <w:r>
        <w:rPr>
          <w:sz w:val="26"/>
          <w:szCs w:val="26"/>
        </w:rPr>
        <w:t>Під час співбесіди Комісією обговорено: результати дослідження досьє, відповідність кандидата показникам критеріїв особистої та соціальної компетентності, а також критеріїв доброчесності та професійної етики.</w:t>
      </w:r>
    </w:p>
    <w:p w14:paraId="7722939E" w14:textId="77777777" w:rsidR="00480115" w:rsidRDefault="00480115">
      <w:pPr>
        <w:spacing w:line="276" w:lineRule="auto"/>
        <w:ind w:firstLine="709"/>
        <w:jc w:val="both"/>
        <w:rPr>
          <w:sz w:val="26"/>
          <w:szCs w:val="26"/>
        </w:rPr>
      </w:pPr>
    </w:p>
    <w:p w14:paraId="04861235" w14:textId="77777777" w:rsidR="00480115" w:rsidRDefault="00E45D5E">
      <w:pPr>
        <w:spacing w:line="276" w:lineRule="auto"/>
        <w:ind w:firstLine="709"/>
        <w:jc w:val="both"/>
        <w:rPr>
          <w:b/>
          <w:sz w:val="26"/>
          <w:szCs w:val="26"/>
        </w:rPr>
      </w:pPr>
      <w:r>
        <w:rPr>
          <w:b/>
          <w:sz w:val="26"/>
          <w:szCs w:val="26"/>
        </w:rPr>
        <w:t xml:space="preserve">Встановлення відповідності кандидата критерію особистої компетентності. </w:t>
      </w:r>
    </w:p>
    <w:p w14:paraId="26752DD5" w14:textId="77777777" w:rsidR="00480115" w:rsidRDefault="00480115">
      <w:pPr>
        <w:spacing w:line="276" w:lineRule="auto"/>
        <w:ind w:firstLine="709"/>
        <w:jc w:val="both"/>
        <w:rPr>
          <w:b/>
          <w:sz w:val="26"/>
          <w:szCs w:val="26"/>
        </w:rPr>
      </w:pPr>
    </w:p>
    <w:p w14:paraId="786C0F27" w14:textId="77777777" w:rsidR="00480115" w:rsidRDefault="00E45D5E">
      <w:pPr>
        <w:shd w:val="clear" w:color="auto" w:fill="FFFFFF"/>
        <w:tabs>
          <w:tab w:val="left" w:pos="426"/>
        </w:tabs>
        <w:spacing w:line="276" w:lineRule="auto"/>
        <w:ind w:firstLine="709"/>
        <w:jc w:val="both"/>
        <w:rPr>
          <w:sz w:val="26"/>
          <w:szCs w:val="26"/>
        </w:rPr>
      </w:pPr>
      <w:r>
        <w:rPr>
          <w:sz w:val="26"/>
          <w:szCs w:val="26"/>
        </w:rPr>
        <w:t>Відповідність кандидата критерію особистої компетентності визначається через призму його відповідності таким показникам:</w:t>
      </w:r>
    </w:p>
    <w:p w14:paraId="648E5602" w14:textId="77777777" w:rsidR="00480115" w:rsidRDefault="00E45D5E">
      <w:pPr>
        <w:shd w:val="clear" w:color="auto" w:fill="FFFFFF"/>
        <w:tabs>
          <w:tab w:val="left" w:pos="426"/>
        </w:tabs>
        <w:spacing w:line="276" w:lineRule="auto"/>
        <w:ind w:firstLine="709"/>
        <w:jc w:val="both"/>
        <w:rPr>
          <w:sz w:val="26"/>
          <w:szCs w:val="26"/>
        </w:rPr>
      </w:pPr>
      <w:r>
        <w:rPr>
          <w:sz w:val="26"/>
          <w:szCs w:val="26"/>
        </w:rPr>
        <w:t>1. Рішучість та відповідальність.</w:t>
      </w:r>
    </w:p>
    <w:p w14:paraId="43867AE5" w14:textId="77777777" w:rsidR="00480115" w:rsidRDefault="00E45D5E">
      <w:pPr>
        <w:shd w:val="clear" w:color="auto" w:fill="FFFFFF"/>
        <w:tabs>
          <w:tab w:val="left" w:pos="426"/>
        </w:tabs>
        <w:spacing w:line="276" w:lineRule="auto"/>
        <w:ind w:firstLine="709"/>
        <w:jc w:val="both"/>
        <w:rPr>
          <w:sz w:val="26"/>
          <w:szCs w:val="26"/>
        </w:rPr>
      </w:pPr>
      <w:r>
        <w:rPr>
          <w:sz w:val="26"/>
          <w:szCs w:val="26"/>
        </w:rPr>
        <w:t>2. Безперервний розвиток.</w:t>
      </w:r>
    </w:p>
    <w:p w14:paraId="192579D0" w14:textId="77777777" w:rsidR="00480115" w:rsidRDefault="00E45D5E">
      <w:pPr>
        <w:shd w:val="clear" w:color="auto" w:fill="FFFFFF"/>
        <w:tabs>
          <w:tab w:val="left" w:pos="426"/>
        </w:tabs>
        <w:spacing w:line="276" w:lineRule="auto"/>
        <w:ind w:firstLine="709"/>
        <w:jc w:val="both"/>
        <w:rPr>
          <w:sz w:val="26"/>
          <w:szCs w:val="26"/>
        </w:rPr>
      </w:pPr>
      <w:r>
        <w:rPr>
          <w:sz w:val="26"/>
          <w:szCs w:val="26"/>
        </w:rPr>
        <w:t>Вагу критерію особистої компетентності та його показників визначено таким чином: особиста компетентність – 50 балів, з яких: рішучість та відповідальність – 25</w:t>
      </w:r>
      <w:r>
        <w:rPr>
          <w:sz w:val="26"/>
          <w:szCs w:val="26"/>
          <w:lang w:val="en-US"/>
        </w:rPr>
        <w:t> </w:t>
      </w:r>
      <w:r>
        <w:rPr>
          <w:sz w:val="26"/>
          <w:szCs w:val="26"/>
        </w:rPr>
        <w:t>балів; безперервний розвиток – 25 балів.</w:t>
      </w:r>
    </w:p>
    <w:p w14:paraId="4DBED323" w14:textId="77777777" w:rsidR="00480115" w:rsidRDefault="00E45D5E">
      <w:pPr>
        <w:shd w:val="clear" w:color="auto" w:fill="FFFFFF"/>
        <w:tabs>
          <w:tab w:val="left" w:pos="426"/>
        </w:tabs>
        <w:spacing w:line="276" w:lineRule="auto"/>
        <w:ind w:firstLine="709"/>
        <w:jc w:val="both"/>
        <w:rPr>
          <w:sz w:val="26"/>
          <w:szCs w:val="26"/>
        </w:rPr>
      </w:pPr>
      <w:r>
        <w:rPr>
          <w:sz w:val="26"/>
          <w:szCs w:val="26"/>
        </w:rPr>
        <w:t>Пунктом 5.5 розділу 5 Положення встановлено, що кандидат на посаду судді вважається таким, що відповідає критерію особистої компетентності, у разі набрання не менше 75 відсотків від суми максимально можливого бала за критерій за результатами його оцінювання на етапі «Дослідження досьє та проведення співбесіди».</w:t>
      </w:r>
    </w:p>
    <w:p w14:paraId="2CB6D6DC" w14:textId="77777777" w:rsidR="00480115" w:rsidRDefault="00E45D5E">
      <w:pPr>
        <w:shd w:val="clear" w:color="auto" w:fill="FFFFFF"/>
        <w:tabs>
          <w:tab w:val="left" w:pos="426"/>
        </w:tabs>
        <w:spacing w:line="276" w:lineRule="auto"/>
        <w:ind w:firstLine="709"/>
        <w:jc w:val="both"/>
        <w:rPr>
          <w:sz w:val="26"/>
          <w:szCs w:val="26"/>
        </w:rPr>
      </w:pPr>
      <w:r>
        <w:rPr>
          <w:sz w:val="26"/>
          <w:szCs w:val="26"/>
        </w:rPr>
        <w:t>Комісія відзначає, що Положення про проведення конкурсу, а також Положення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 Цей обов’язок охоплює не лише надання Комісії загальних біографічних чи майнових даних, але й відомостей, що мають значення для оцінки особистої компетентності.</w:t>
      </w:r>
    </w:p>
    <w:p w14:paraId="7D5D7409" w14:textId="77777777" w:rsidR="00480115" w:rsidRDefault="00E45D5E">
      <w:pPr>
        <w:shd w:val="clear" w:color="auto" w:fill="FFFFFF"/>
        <w:tabs>
          <w:tab w:val="left" w:pos="426"/>
        </w:tabs>
        <w:spacing w:line="276" w:lineRule="auto"/>
        <w:ind w:firstLine="709"/>
        <w:jc w:val="both"/>
        <w:rPr>
          <w:sz w:val="26"/>
          <w:szCs w:val="26"/>
        </w:rPr>
      </w:pPr>
      <w:r>
        <w:rPr>
          <w:sz w:val="26"/>
          <w:szCs w:val="26"/>
        </w:rPr>
        <w:t xml:space="preserve">Таким чином, при оцінюванні особистої компетентності важлива роль належить активній участі кандидата в підтвердженні власної відповідності встановленим </w:t>
      </w:r>
      <w:r>
        <w:rPr>
          <w:sz w:val="26"/>
          <w:szCs w:val="26"/>
        </w:rPr>
        <w:lastRenderedPageBreak/>
        <w:t>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05396D5E" w14:textId="77777777" w:rsidR="00480115" w:rsidRDefault="00E45D5E">
      <w:pPr>
        <w:shd w:val="clear" w:color="auto" w:fill="FFFFFF"/>
        <w:tabs>
          <w:tab w:val="left" w:pos="426"/>
        </w:tabs>
        <w:spacing w:line="276" w:lineRule="auto"/>
        <w:ind w:firstLine="709"/>
        <w:jc w:val="both"/>
        <w:rPr>
          <w:sz w:val="26"/>
          <w:szCs w:val="26"/>
        </w:rPr>
      </w:pPr>
      <w:r>
        <w:rPr>
          <w:sz w:val="26"/>
          <w:szCs w:val="26"/>
        </w:rPr>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спроможний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 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w:t>
      </w:r>
    </w:p>
    <w:p w14:paraId="07255870" w14:textId="77777777" w:rsidR="00480115" w:rsidRDefault="00E45D5E">
      <w:pPr>
        <w:shd w:val="clear" w:color="auto" w:fill="FFFFFF"/>
        <w:tabs>
          <w:tab w:val="left" w:pos="426"/>
        </w:tabs>
        <w:spacing w:line="276" w:lineRule="auto"/>
        <w:ind w:firstLine="709"/>
        <w:jc w:val="both"/>
        <w:rPr>
          <w:sz w:val="26"/>
          <w:szCs w:val="26"/>
        </w:rPr>
      </w:pPr>
      <w:r>
        <w:rPr>
          <w:sz w:val="26"/>
          <w:szCs w:val="26"/>
        </w:rPr>
        <w:t>Саме під час співбесіди формується остаточна оцінка кандидата на посаду судді. У зв’язку з цим Комісія підкреслює, що оцінювання особистої компетентності має індивідуальний характер і здійснюється членами Комісії за їх внутрішнім переконанням.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3EBE7763" w14:textId="77777777" w:rsidR="00480115" w:rsidRDefault="00E45D5E">
      <w:pPr>
        <w:shd w:val="clear" w:color="auto" w:fill="FFFFFF"/>
        <w:tabs>
          <w:tab w:val="left" w:pos="426"/>
        </w:tabs>
        <w:spacing w:line="276" w:lineRule="auto"/>
        <w:ind w:firstLine="709"/>
        <w:jc w:val="both"/>
        <w:rPr>
          <w:sz w:val="26"/>
          <w:szCs w:val="26"/>
        </w:rPr>
      </w:pPr>
      <w:r>
        <w:rPr>
          <w:sz w:val="26"/>
          <w:szCs w:val="26"/>
        </w:rPr>
        <w:t>Пунктом 5.7 Положення передбачено, що 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w:t>
      </w:r>
    </w:p>
    <w:p w14:paraId="2BF6DB5F" w14:textId="77777777" w:rsidR="00480115" w:rsidRDefault="00E45D5E">
      <w:pPr>
        <w:shd w:val="clear" w:color="auto" w:fill="FFFFFF"/>
        <w:tabs>
          <w:tab w:val="left" w:pos="426"/>
        </w:tabs>
        <w:spacing w:line="276" w:lineRule="auto"/>
        <w:ind w:firstLine="709"/>
        <w:jc w:val="both"/>
        <w:rPr>
          <w:sz w:val="26"/>
          <w:szCs w:val="26"/>
        </w:rPr>
      </w:pPr>
      <w:r>
        <w:rPr>
          <w:sz w:val="26"/>
          <w:szCs w:val="26"/>
        </w:rPr>
        <w:t xml:space="preserve">У постанові </w:t>
      </w:r>
      <w:r>
        <w:rPr>
          <w:bCs/>
          <w:sz w:val="26"/>
          <w:szCs w:val="26"/>
        </w:rPr>
        <w:t xml:space="preserve">Великої Палати Верховного Суду від 12 березня 2026 року у справі № </w:t>
      </w:r>
      <w:r>
        <w:rPr>
          <w:sz w:val="26"/>
          <w:szCs w:val="26"/>
        </w:rPr>
        <w:t xml:space="preserve">990/261/25 </w:t>
      </w:r>
      <w:r>
        <w:rPr>
          <w:bCs/>
          <w:sz w:val="26"/>
          <w:szCs w:val="26"/>
        </w:rPr>
        <w:t>вказано таке: «</w:t>
      </w:r>
      <w:r>
        <w:rPr>
          <w:sz w:val="26"/>
          <w:szCs w:val="26"/>
        </w:rPr>
        <w:t>Із змісту наведених правових положень слідує, що ВККС на виконання наданих їй частиною п’ятою статті 83 Закону № 1402-VIII повноважень визначила, що відповідність судді (кандидата на посаду судді) критерію особистої компетентності встановлюється шляхом оцінки кожного окремо та у сукупності показників «рішучість і відповідальність» та «безперервний розвиток».</w:t>
      </w:r>
    </w:p>
    <w:p w14:paraId="384A8D26" w14:textId="77777777" w:rsidR="00480115" w:rsidRDefault="00E45D5E">
      <w:pPr>
        <w:shd w:val="clear" w:color="auto" w:fill="FFFFFF"/>
        <w:tabs>
          <w:tab w:val="left" w:pos="426"/>
        </w:tabs>
        <w:spacing w:line="276" w:lineRule="auto"/>
        <w:ind w:firstLine="709"/>
        <w:jc w:val="both"/>
        <w:rPr>
          <w:sz w:val="26"/>
          <w:szCs w:val="26"/>
        </w:rPr>
      </w:pPr>
      <w:r>
        <w:rPr>
          <w:sz w:val="26"/>
          <w:szCs w:val="26"/>
        </w:rPr>
        <w:t>Зміст означених вище показників вказує, що особиста компетентність судді (кандидата на посаду судді) проявляється у поєднанні умінь, зокрема, вчасно ухвалювати рішення [незважаючи на їх складність чи умови, в яких вони приймаються]; брати на себе відповідальність за ухвалені рішення та усвідомлювати їх наслідки; постійно розвиватися у професійній діяльності, при цьому адекватно сприймаючи критику на свою адресу.</w:t>
      </w:r>
    </w:p>
    <w:p w14:paraId="1F15C924" w14:textId="77777777" w:rsidR="00480115" w:rsidRDefault="00E45D5E">
      <w:pPr>
        <w:shd w:val="clear" w:color="auto" w:fill="FFFFFF"/>
        <w:tabs>
          <w:tab w:val="left" w:pos="426"/>
        </w:tabs>
        <w:spacing w:line="276" w:lineRule="auto"/>
        <w:ind w:firstLine="709"/>
        <w:jc w:val="both"/>
        <w:rPr>
          <w:sz w:val="26"/>
          <w:szCs w:val="26"/>
        </w:rPr>
      </w:pPr>
      <w:r>
        <w:rPr>
          <w:sz w:val="26"/>
          <w:szCs w:val="26"/>
        </w:rPr>
        <w:t xml:space="preserve">Ці показники оцінюються членами ВККС за їх внутрішнім переконанням, яке за своєю суттю є певним (позитивним чи негативним) стійким уявленням (судженням) члена Комісії про особистість судді (кандидата на посаду судді), що має бути сформованим на підставі повної, всебічної та об’єктивної оцінки відомостей та </w:t>
      </w:r>
      <w:r>
        <w:rPr>
          <w:sz w:val="26"/>
          <w:szCs w:val="26"/>
        </w:rPr>
        <w:lastRenderedPageBreak/>
        <w:t>пояснень, що містяться у досьє та які надані під час проведення співбесіди. Поряд із цим не можна залишити поза увагою, що означені показники неможливо виміряти за певними сталими формулами чи іншими кількісними чи якісними критеріями, відтак вони оцінюються саме на підставі професійного судження членів Комісії. При цьому ВККС є спеціально уповноваженим органом, якому законодавець надав дискреційні повноваження із оцінювання суддів (кандидатів на посаду судді) на відповідність критеріям кваліфікаційного оцінювання.</w:t>
      </w:r>
    </w:p>
    <w:p w14:paraId="21D237DB" w14:textId="77777777" w:rsidR="00480115" w:rsidRDefault="00E45D5E">
      <w:pPr>
        <w:shd w:val="clear" w:color="auto" w:fill="FFFFFF"/>
        <w:tabs>
          <w:tab w:val="left" w:pos="426"/>
        </w:tabs>
        <w:spacing w:line="276" w:lineRule="auto"/>
        <w:ind w:firstLine="709"/>
        <w:jc w:val="both"/>
        <w:rPr>
          <w:sz w:val="26"/>
          <w:szCs w:val="26"/>
        </w:rPr>
      </w:pPr>
      <w:r>
        <w:rPr>
          <w:sz w:val="26"/>
          <w:szCs w:val="26"/>
        </w:rPr>
        <w:t xml:space="preserve">Слід зазначити, що ВККС вільна у виборі будь-яких підстав, з огляду на які вона може засумніватися у можливості виставлення судді (кандидату на посаду судді) максимального бала за показниками «рішучість і відповідальність», «безперервний розвиток». Однак така свобода (дискреція) суб’єкта владних повноважень у наданні оцінки компетентностям судді (кандидата на посаду судді) не є абсолютною і обмежується обов’язком Комісії сформувати свій висновок на підставі повної і всебічної оцінки всіх істотних фактичних обставин. Відповідний висновок Комісії має бути логічним, раціональним і таким, що не видається свавільним для стороннього спостерігача». </w:t>
      </w:r>
    </w:p>
    <w:p w14:paraId="18B594DE" w14:textId="77777777" w:rsidR="00480115" w:rsidRDefault="00E45D5E">
      <w:pPr>
        <w:shd w:val="clear" w:color="auto" w:fill="FFFFFF"/>
        <w:tabs>
          <w:tab w:val="left" w:pos="426"/>
        </w:tabs>
        <w:spacing w:line="276" w:lineRule="auto"/>
        <w:ind w:firstLine="709"/>
        <w:jc w:val="both"/>
        <w:rPr>
          <w:sz w:val="26"/>
          <w:szCs w:val="26"/>
        </w:rPr>
      </w:pPr>
      <w:r>
        <w:rPr>
          <w:sz w:val="26"/>
          <w:szCs w:val="26"/>
        </w:rPr>
        <w:t>Надані Марченко Н.Ю. документи, а також її відповіді під час послідовного обговорення показників особистої компетентності на співбесіді індивідуально оцінено членами Комісії у складі колегії таким чином:</w:t>
      </w:r>
    </w:p>
    <w:p w14:paraId="091CC6FE" w14:textId="77777777" w:rsidR="00480115" w:rsidRDefault="00480115">
      <w:pPr>
        <w:shd w:val="clear" w:color="auto" w:fill="FFFFFF"/>
        <w:tabs>
          <w:tab w:val="left" w:pos="426"/>
        </w:tabs>
        <w:spacing w:line="276" w:lineRule="auto"/>
        <w:ind w:firstLine="709"/>
        <w:jc w:val="both"/>
        <w:rPr>
          <w:sz w:val="28"/>
          <w:szCs w:val="28"/>
        </w:rPr>
      </w:pPr>
    </w:p>
    <w:tbl>
      <w:tblPr>
        <w:tblW w:w="5000" w:type="pct"/>
        <w:tblLayout w:type="fixed"/>
        <w:tblCellMar>
          <w:top w:w="30" w:type="dxa"/>
          <w:left w:w="45" w:type="dxa"/>
          <w:bottom w:w="30" w:type="dxa"/>
          <w:right w:w="45" w:type="dxa"/>
        </w:tblCellMar>
        <w:tblLook w:val="04A0" w:firstRow="1" w:lastRow="0" w:firstColumn="1" w:lastColumn="0" w:noHBand="0" w:noVBand="1"/>
      </w:tblPr>
      <w:tblGrid>
        <w:gridCol w:w="1546"/>
        <w:gridCol w:w="1667"/>
        <w:gridCol w:w="1278"/>
        <w:gridCol w:w="1406"/>
        <w:gridCol w:w="1165"/>
        <w:gridCol w:w="1522"/>
        <w:gridCol w:w="967"/>
      </w:tblGrid>
      <w:tr w:rsidR="00480115" w14:paraId="5BDC3DD7" w14:textId="77777777">
        <w:trPr>
          <w:trHeight w:val="70"/>
        </w:trPr>
        <w:tc>
          <w:tcPr>
            <w:tcW w:w="1550"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300AB68C" w14:textId="77777777" w:rsidR="00480115" w:rsidRDefault="00E45D5E">
            <w:pPr>
              <w:spacing w:line="276" w:lineRule="auto"/>
              <w:jc w:val="center"/>
              <w:rPr>
                <w:sz w:val="22"/>
                <w:szCs w:val="22"/>
              </w:rPr>
            </w:pPr>
            <w:r>
              <w:rPr>
                <w:sz w:val="22"/>
                <w:szCs w:val="22"/>
              </w:rPr>
              <w:t>Критерій</w:t>
            </w:r>
          </w:p>
        </w:tc>
        <w:tc>
          <w:tcPr>
            <w:tcW w:w="1672"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2609DC26" w14:textId="77777777" w:rsidR="00480115" w:rsidRDefault="00E45D5E">
            <w:pPr>
              <w:spacing w:line="276" w:lineRule="auto"/>
              <w:rPr>
                <w:sz w:val="22"/>
                <w:szCs w:val="22"/>
              </w:rPr>
            </w:pPr>
            <w:r>
              <w:rPr>
                <w:sz w:val="22"/>
                <w:szCs w:val="22"/>
              </w:rPr>
              <w:t xml:space="preserve">        Показник</w:t>
            </w:r>
          </w:p>
        </w:tc>
        <w:tc>
          <w:tcPr>
            <w:tcW w:w="3862" w:type="dxa"/>
            <w:gridSpan w:val="3"/>
            <w:tcBorders>
              <w:top w:val="single" w:sz="12" w:space="0" w:color="000000"/>
              <w:left w:val="single" w:sz="12" w:space="0" w:color="000000"/>
              <w:bottom w:val="single" w:sz="12" w:space="0" w:color="000000"/>
              <w:right w:val="single" w:sz="12" w:space="0" w:color="000000"/>
            </w:tcBorders>
            <w:shd w:val="clear" w:color="auto" w:fill="F2F2F2"/>
            <w:vAlign w:val="center"/>
          </w:tcPr>
          <w:p w14:paraId="634F55A0" w14:textId="77777777" w:rsidR="00480115" w:rsidRDefault="00E45D5E">
            <w:pPr>
              <w:spacing w:line="276" w:lineRule="auto"/>
              <w:rPr>
                <w:sz w:val="22"/>
                <w:szCs w:val="22"/>
              </w:rPr>
            </w:pPr>
            <w:r>
              <w:rPr>
                <w:sz w:val="22"/>
                <w:szCs w:val="22"/>
              </w:rPr>
              <w:t>Бали, виставлені членами Комісії за показниками</w:t>
            </w:r>
          </w:p>
        </w:tc>
        <w:tc>
          <w:tcPr>
            <w:tcW w:w="1527"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7594C153" w14:textId="77777777" w:rsidR="00480115" w:rsidRDefault="00E45D5E">
            <w:pPr>
              <w:spacing w:line="276" w:lineRule="auto"/>
              <w:rPr>
                <w:sz w:val="22"/>
                <w:szCs w:val="22"/>
              </w:rPr>
            </w:pPr>
            <w:r>
              <w:rPr>
                <w:sz w:val="22"/>
                <w:szCs w:val="22"/>
              </w:rPr>
              <w:t>Розрахований згідно з п. 5.7 Положення середній бал</w:t>
            </w:r>
          </w:p>
        </w:tc>
        <w:tc>
          <w:tcPr>
            <w:tcW w:w="970"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66C98410" w14:textId="77777777" w:rsidR="00480115" w:rsidRDefault="00E45D5E">
            <w:pPr>
              <w:spacing w:line="276" w:lineRule="auto"/>
              <w:rPr>
                <w:sz w:val="22"/>
                <w:szCs w:val="22"/>
              </w:rPr>
            </w:pPr>
            <w:r>
              <w:rPr>
                <w:sz w:val="22"/>
                <w:szCs w:val="22"/>
              </w:rPr>
              <w:t>Бал за критерій</w:t>
            </w:r>
          </w:p>
        </w:tc>
      </w:tr>
      <w:tr w:rsidR="00480115" w14:paraId="1E853CF5" w14:textId="77777777">
        <w:trPr>
          <w:trHeight w:val="642"/>
        </w:trPr>
        <w:tc>
          <w:tcPr>
            <w:tcW w:w="1550" w:type="dxa"/>
            <w:vMerge w:val="restart"/>
            <w:tcBorders>
              <w:top w:val="single" w:sz="12" w:space="0" w:color="000000"/>
              <w:left w:val="single" w:sz="12" w:space="0" w:color="000000"/>
              <w:bottom w:val="single" w:sz="12" w:space="0" w:color="000000"/>
              <w:right w:val="single" w:sz="12" w:space="0" w:color="000000"/>
            </w:tcBorders>
            <w:vAlign w:val="center"/>
          </w:tcPr>
          <w:p w14:paraId="2B3D4DC1" w14:textId="77777777" w:rsidR="00480115" w:rsidRDefault="00E45D5E">
            <w:pPr>
              <w:spacing w:line="276" w:lineRule="auto"/>
              <w:rPr>
                <w:sz w:val="22"/>
                <w:szCs w:val="22"/>
              </w:rPr>
            </w:pPr>
            <w:r>
              <w:rPr>
                <w:sz w:val="22"/>
                <w:szCs w:val="22"/>
              </w:rPr>
              <w:t>особиста компетентність</w:t>
            </w:r>
          </w:p>
        </w:tc>
        <w:tc>
          <w:tcPr>
            <w:tcW w:w="1672" w:type="dxa"/>
            <w:tcBorders>
              <w:top w:val="single" w:sz="12" w:space="0" w:color="000000"/>
              <w:left w:val="single" w:sz="12" w:space="0" w:color="000000"/>
              <w:bottom w:val="single" w:sz="12" w:space="0" w:color="000000"/>
              <w:right w:val="single" w:sz="12" w:space="0" w:color="000000"/>
            </w:tcBorders>
            <w:vAlign w:val="center"/>
          </w:tcPr>
          <w:p w14:paraId="69DCA71F" w14:textId="77777777" w:rsidR="00480115" w:rsidRDefault="00E45D5E">
            <w:pPr>
              <w:spacing w:line="276" w:lineRule="auto"/>
              <w:rPr>
                <w:sz w:val="22"/>
                <w:szCs w:val="22"/>
              </w:rPr>
            </w:pPr>
            <w:r>
              <w:rPr>
                <w:sz w:val="22"/>
                <w:szCs w:val="22"/>
              </w:rPr>
              <w:t>рішучість</w:t>
            </w:r>
          </w:p>
        </w:tc>
        <w:tc>
          <w:tcPr>
            <w:tcW w:w="1282" w:type="dxa"/>
            <w:vMerge w:val="restart"/>
            <w:tcBorders>
              <w:top w:val="single" w:sz="12" w:space="0" w:color="000000"/>
              <w:left w:val="single" w:sz="12" w:space="0" w:color="000000"/>
              <w:bottom w:val="single" w:sz="12" w:space="0" w:color="000000"/>
              <w:right w:val="single" w:sz="12" w:space="0" w:color="000000"/>
            </w:tcBorders>
            <w:vAlign w:val="center"/>
          </w:tcPr>
          <w:p w14:paraId="51045170" w14:textId="77777777" w:rsidR="00480115" w:rsidRDefault="00E45D5E">
            <w:pPr>
              <w:spacing w:line="276" w:lineRule="auto"/>
              <w:jc w:val="center"/>
              <w:rPr>
                <w:sz w:val="22"/>
                <w:szCs w:val="22"/>
              </w:rPr>
            </w:pPr>
            <w:r>
              <w:rPr>
                <w:sz w:val="22"/>
                <w:szCs w:val="22"/>
              </w:rPr>
              <w:t>21</w:t>
            </w:r>
          </w:p>
        </w:tc>
        <w:tc>
          <w:tcPr>
            <w:tcW w:w="1411" w:type="dxa"/>
            <w:vMerge w:val="restart"/>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2DB51539" w14:textId="77777777" w:rsidR="00480115" w:rsidRDefault="00E45D5E">
            <w:pPr>
              <w:spacing w:line="276" w:lineRule="auto"/>
              <w:jc w:val="center"/>
              <w:rPr>
                <w:sz w:val="22"/>
                <w:szCs w:val="22"/>
              </w:rPr>
            </w:pPr>
            <w:r>
              <w:rPr>
                <w:sz w:val="22"/>
                <w:szCs w:val="22"/>
              </w:rPr>
              <w:t>21</w:t>
            </w:r>
          </w:p>
        </w:tc>
        <w:tc>
          <w:tcPr>
            <w:tcW w:w="1169" w:type="dxa"/>
            <w:vMerge w:val="restart"/>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16FBF5E4" w14:textId="77777777" w:rsidR="00480115" w:rsidRDefault="00E45D5E">
            <w:pPr>
              <w:spacing w:line="276" w:lineRule="auto"/>
              <w:jc w:val="center"/>
              <w:rPr>
                <w:sz w:val="22"/>
                <w:szCs w:val="22"/>
              </w:rPr>
            </w:pPr>
            <w:r>
              <w:rPr>
                <w:sz w:val="22"/>
                <w:szCs w:val="22"/>
              </w:rPr>
              <w:t>21</w:t>
            </w:r>
          </w:p>
        </w:tc>
        <w:tc>
          <w:tcPr>
            <w:tcW w:w="1527" w:type="dxa"/>
            <w:vMerge w:val="restart"/>
            <w:tcBorders>
              <w:top w:val="single" w:sz="12" w:space="0" w:color="000000"/>
              <w:left w:val="single" w:sz="12" w:space="0" w:color="000000"/>
              <w:bottom w:val="single" w:sz="12" w:space="0" w:color="000000"/>
              <w:right w:val="single" w:sz="12" w:space="0" w:color="000000"/>
            </w:tcBorders>
            <w:vAlign w:val="center"/>
          </w:tcPr>
          <w:p w14:paraId="5B14D88F" w14:textId="77777777" w:rsidR="00480115" w:rsidRDefault="00E45D5E">
            <w:pPr>
              <w:spacing w:line="276" w:lineRule="auto"/>
              <w:jc w:val="center"/>
              <w:rPr>
                <w:sz w:val="22"/>
                <w:szCs w:val="22"/>
              </w:rPr>
            </w:pPr>
            <w:r>
              <w:rPr>
                <w:sz w:val="22"/>
                <w:szCs w:val="22"/>
              </w:rPr>
              <w:t>21</w:t>
            </w:r>
          </w:p>
        </w:tc>
        <w:tc>
          <w:tcPr>
            <w:tcW w:w="970" w:type="dxa"/>
            <w:vMerge w:val="restart"/>
            <w:tcBorders>
              <w:top w:val="single" w:sz="12" w:space="0" w:color="000000"/>
              <w:left w:val="single" w:sz="12" w:space="0" w:color="000000"/>
              <w:bottom w:val="single" w:sz="12" w:space="0" w:color="000000"/>
              <w:right w:val="single" w:sz="12" w:space="0" w:color="000000"/>
            </w:tcBorders>
            <w:vAlign w:val="center"/>
          </w:tcPr>
          <w:p w14:paraId="49C4D0A6" w14:textId="77777777" w:rsidR="00480115" w:rsidRDefault="00E45D5E">
            <w:pPr>
              <w:spacing w:line="276" w:lineRule="auto"/>
              <w:jc w:val="center"/>
              <w:rPr>
                <w:sz w:val="22"/>
                <w:szCs w:val="22"/>
              </w:rPr>
            </w:pPr>
            <w:r>
              <w:rPr>
                <w:sz w:val="22"/>
                <w:szCs w:val="22"/>
              </w:rPr>
              <w:t>41</w:t>
            </w:r>
          </w:p>
        </w:tc>
      </w:tr>
      <w:tr w:rsidR="00480115" w14:paraId="67769B6C" w14:textId="77777777">
        <w:trPr>
          <w:trHeight w:val="70"/>
        </w:trPr>
        <w:tc>
          <w:tcPr>
            <w:tcW w:w="1550"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788055DF" w14:textId="77777777" w:rsidR="00480115" w:rsidRDefault="00480115">
            <w:pPr>
              <w:spacing w:line="276" w:lineRule="auto"/>
              <w:ind w:firstLine="709"/>
              <w:rPr>
                <w:sz w:val="22"/>
                <w:szCs w:val="22"/>
              </w:rPr>
            </w:pPr>
          </w:p>
        </w:tc>
        <w:tc>
          <w:tcPr>
            <w:tcW w:w="1672" w:type="dxa"/>
            <w:tcBorders>
              <w:top w:val="single" w:sz="12" w:space="0" w:color="000000"/>
              <w:left w:val="single" w:sz="12" w:space="0" w:color="000000"/>
              <w:bottom w:val="single" w:sz="12" w:space="0" w:color="000000"/>
              <w:right w:val="single" w:sz="12" w:space="0" w:color="000000"/>
            </w:tcBorders>
            <w:vAlign w:val="center"/>
          </w:tcPr>
          <w:p w14:paraId="6E6B482A" w14:textId="77777777" w:rsidR="00480115" w:rsidRDefault="00E45D5E">
            <w:pPr>
              <w:spacing w:line="276" w:lineRule="auto"/>
              <w:rPr>
                <w:sz w:val="22"/>
                <w:szCs w:val="22"/>
              </w:rPr>
            </w:pPr>
            <w:r>
              <w:rPr>
                <w:sz w:val="22"/>
                <w:szCs w:val="22"/>
              </w:rPr>
              <w:t>відповідальність</w:t>
            </w:r>
          </w:p>
        </w:tc>
        <w:tc>
          <w:tcPr>
            <w:tcW w:w="1282"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24BC72B6" w14:textId="77777777" w:rsidR="00480115" w:rsidRDefault="00480115">
            <w:pPr>
              <w:spacing w:line="276" w:lineRule="auto"/>
              <w:rPr>
                <w:sz w:val="22"/>
                <w:szCs w:val="22"/>
                <w:highlight w:val="yellow"/>
              </w:rPr>
            </w:pPr>
          </w:p>
        </w:tc>
        <w:tc>
          <w:tcPr>
            <w:tcW w:w="1411"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6C8988E8" w14:textId="77777777" w:rsidR="00480115" w:rsidRDefault="00480115">
            <w:pPr>
              <w:spacing w:line="276" w:lineRule="auto"/>
              <w:rPr>
                <w:sz w:val="22"/>
                <w:szCs w:val="22"/>
                <w:highlight w:val="yellow"/>
              </w:rPr>
            </w:pPr>
          </w:p>
        </w:tc>
        <w:tc>
          <w:tcPr>
            <w:tcW w:w="1169"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73560F7C" w14:textId="77777777" w:rsidR="00480115" w:rsidRDefault="00480115">
            <w:pPr>
              <w:spacing w:line="276" w:lineRule="auto"/>
              <w:rPr>
                <w:sz w:val="22"/>
                <w:szCs w:val="22"/>
                <w:highlight w:val="yellow"/>
              </w:rPr>
            </w:pPr>
          </w:p>
        </w:tc>
        <w:tc>
          <w:tcPr>
            <w:tcW w:w="1527"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479CF4C5" w14:textId="77777777" w:rsidR="00480115" w:rsidRDefault="00480115">
            <w:pPr>
              <w:spacing w:line="276" w:lineRule="auto"/>
              <w:ind w:firstLine="709"/>
              <w:rPr>
                <w:sz w:val="22"/>
                <w:szCs w:val="22"/>
                <w:highlight w:val="yellow"/>
              </w:rPr>
            </w:pPr>
          </w:p>
        </w:tc>
        <w:tc>
          <w:tcPr>
            <w:tcW w:w="970"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6B66F29F" w14:textId="77777777" w:rsidR="00480115" w:rsidRDefault="00480115">
            <w:pPr>
              <w:spacing w:line="276" w:lineRule="auto"/>
              <w:ind w:firstLine="709"/>
              <w:rPr>
                <w:sz w:val="22"/>
                <w:szCs w:val="22"/>
              </w:rPr>
            </w:pPr>
          </w:p>
        </w:tc>
      </w:tr>
      <w:tr w:rsidR="00480115" w14:paraId="4495D3F7" w14:textId="77777777">
        <w:trPr>
          <w:trHeight w:val="70"/>
        </w:trPr>
        <w:tc>
          <w:tcPr>
            <w:tcW w:w="1550"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4C355A05" w14:textId="77777777" w:rsidR="00480115" w:rsidRDefault="00480115">
            <w:pPr>
              <w:spacing w:line="276" w:lineRule="auto"/>
              <w:ind w:firstLine="709"/>
              <w:rPr>
                <w:sz w:val="22"/>
                <w:szCs w:val="22"/>
              </w:rPr>
            </w:pPr>
          </w:p>
        </w:tc>
        <w:tc>
          <w:tcPr>
            <w:tcW w:w="1672" w:type="dxa"/>
            <w:tcBorders>
              <w:top w:val="single" w:sz="12" w:space="0" w:color="000000"/>
              <w:left w:val="single" w:sz="12" w:space="0" w:color="000000"/>
              <w:bottom w:val="single" w:sz="12" w:space="0" w:color="000000"/>
              <w:right w:val="single" w:sz="12" w:space="0" w:color="000000"/>
            </w:tcBorders>
            <w:vAlign w:val="center"/>
          </w:tcPr>
          <w:p w14:paraId="35CB5F36" w14:textId="77777777" w:rsidR="00480115" w:rsidRDefault="00E45D5E">
            <w:pPr>
              <w:spacing w:line="276" w:lineRule="auto"/>
              <w:rPr>
                <w:sz w:val="22"/>
                <w:szCs w:val="22"/>
              </w:rPr>
            </w:pPr>
            <w:r>
              <w:rPr>
                <w:sz w:val="22"/>
                <w:szCs w:val="22"/>
              </w:rPr>
              <w:t>безперервний розвиток</w:t>
            </w:r>
          </w:p>
        </w:tc>
        <w:tc>
          <w:tcPr>
            <w:tcW w:w="1282" w:type="dxa"/>
            <w:tcBorders>
              <w:top w:val="single" w:sz="12" w:space="0" w:color="000000"/>
              <w:left w:val="single" w:sz="12" w:space="0" w:color="000000"/>
              <w:bottom w:val="single" w:sz="12" w:space="0" w:color="000000"/>
              <w:right w:val="single" w:sz="12" w:space="0" w:color="000000"/>
            </w:tcBorders>
            <w:vAlign w:val="center"/>
          </w:tcPr>
          <w:p w14:paraId="56107BF3" w14:textId="77777777" w:rsidR="00480115" w:rsidRDefault="00E45D5E">
            <w:pPr>
              <w:spacing w:line="276" w:lineRule="auto"/>
              <w:jc w:val="center"/>
              <w:rPr>
                <w:sz w:val="22"/>
                <w:szCs w:val="22"/>
              </w:rPr>
            </w:pPr>
            <w:r>
              <w:rPr>
                <w:sz w:val="22"/>
                <w:szCs w:val="22"/>
              </w:rPr>
              <w:t>20</w:t>
            </w:r>
          </w:p>
        </w:tc>
        <w:tc>
          <w:tcPr>
            <w:tcW w:w="1411" w:type="dxa"/>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516FF13E" w14:textId="77777777" w:rsidR="00480115" w:rsidRDefault="00E45D5E">
            <w:pPr>
              <w:spacing w:line="276" w:lineRule="auto"/>
              <w:jc w:val="center"/>
              <w:rPr>
                <w:sz w:val="22"/>
                <w:szCs w:val="22"/>
              </w:rPr>
            </w:pPr>
            <w:r>
              <w:rPr>
                <w:sz w:val="22"/>
                <w:szCs w:val="22"/>
              </w:rPr>
              <w:t>20</w:t>
            </w:r>
          </w:p>
        </w:tc>
        <w:tc>
          <w:tcPr>
            <w:tcW w:w="1169" w:type="dxa"/>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4E86BACE" w14:textId="77777777" w:rsidR="00480115" w:rsidRDefault="00E45D5E">
            <w:pPr>
              <w:spacing w:line="276" w:lineRule="auto"/>
              <w:jc w:val="center"/>
              <w:rPr>
                <w:sz w:val="22"/>
                <w:szCs w:val="22"/>
              </w:rPr>
            </w:pPr>
            <w:r>
              <w:rPr>
                <w:sz w:val="22"/>
                <w:szCs w:val="22"/>
              </w:rPr>
              <w:t>20</w:t>
            </w:r>
          </w:p>
        </w:tc>
        <w:tc>
          <w:tcPr>
            <w:tcW w:w="1527" w:type="dxa"/>
            <w:tcBorders>
              <w:top w:val="single" w:sz="12" w:space="0" w:color="000000"/>
              <w:left w:val="single" w:sz="12" w:space="0" w:color="000000"/>
              <w:bottom w:val="single" w:sz="12" w:space="0" w:color="000000"/>
              <w:right w:val="single" w:sz="12" w:space="0" w:color="000000"/>
            </w:tcBorders>
            <w:vAlign w:val="center"/>
          </w:tcPr>
          <w:p w14:paraId="21B93E2A" w14:textId="77777777" w:rsidR="00480115" w:rsidRDefault="00E45D5E">
            <w:pPr>
              <w:spacing w:line="276" w:lineRule="auto"/>
              <w:jc w:val="center"/>
              <w:rPr>
                <w:sz w:val="22"/>
                <w:szCs w:val="22"/>
              </w:rPr>
            </w:pPr>
            <w:r>
              <w:rPr>
                <w:sz w:val="22"/>
                <w:szCs w:val="22"/>
              </w:rPr>
              <w:t>20</w:t>
            </w:r>
          </w:p>
        </w:tc>
        <w:tc>
          <w:tcPr>
            <w:tcW w:w="970"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5A92961E" w14:textId="77777777" w:rsidR="00480115" w:rsidRDefault="00480115">
            <w:pPr>
              <w:spacing w:line="276" w:lineRule="auto"/>
              <w:ind w:firstLine="709"/>
              <w:rPr>
                <w:sz w:val="22"/>
                <w:szCs w:val="22"/>
              </w:rPr>
            </w:pPr>
          </w:p>
        </w:tc>
      </w:tr>
    </w:tbl>
    <w:p w14:paraId="42F1871E" w14:textId="77777777" w:rsidR="00480115" w:rsidRDefault="00480115">
      <w:pPr>
        <w:shd w:val="clear" w:color="auto" w:fill="FFFFFF"/>
        <w:tabs>
          <w:tab w:val="left" w:pos="426"/>
        </w:tabs>
        <w:spacing w:line="276" w:lineRule="auto"/>
        <w:ind w:firstLine="709"/>
        <w:jc w:val="both"/>
        <w:rPr>
          <w:sz w:val="26"/>
          <w:szCs w:val="26"/>
        </w:rPr>
      </w:pPr>
    </w:p>
    <w:p w14:paraId="46D96250" w14:textId="77777777" w:rsidR="00480115" w:rsidRDefault="00E45D5E">
      <w:pPr>
        <w:shd w:val="clear" w:color="auto" w:fill="FFFFFF"/>
        <w:tabs>
          <w:tab w:val="left" w:pos="426"/>
        </w:tabs>
        <w:spacing w:line="276" w:lineRule="auto"/>
        <w:ind w:firstLine="709"/>
        <w:jc w:val="both"/>
        <w:rPr>
          <w:sz w:val="26"/>
          <w:szCs w:val="26"/>
        </w:rPr>
      </w:pPr>
      <w:r>
        <w:rPr>
          <w:sz w:val="26"/>
          <w:szCs w:val="26"/>
        </w:rPr>
        <w:t>За результатами оцінки письмових пояснень та інших матеріалів, долучених до досьє, співбесіди з кандидатом, а також з урахуванням індивідуальних оцінок членів Комісії у складі колегії за відповідними показниками, сумарний бал, отриманий за цим критерієм, становить 41 бал із 50 можливих, що вище 75% (37,5 бала) максимально можливого бала, тому Комісія виснує, що кандидат відповідає критерію особистої компетентності.</w:t>
      </w:r>
    </w:p>
    <w:p w14:paraId="1C9D7DCB" w14:textId="77777777" w:rsidR="00480115" w:rsidRDefault="00480115">
      <w:pPr>
        <w:shd w:val="clear" w:color="auto" w:fill="FFFFFF"/>
        <w:tabs>
          <w:tab w:val="left" w:pos="426"/>
        </w:tabs>
        <w:spacing w:line="276" w:lineRule="auto"/>
        <w:ind w:firstLine="709"/>
        <w:jc w:val="both"/>
        <w:rPr>
          <w:sz w:val="26"/>
          <w:szCs w:val="26"/>
        </w:rPr>
      </w:pPr>
    </w:p>
    <w:p w14:paraId="60EF8958" w14:textId="77777777" w:rsidR="00480115" w:rsidRDefault="00E45D5E">
      <w:pPr>
        <w:spacing w:line="276" w:lineRule="auto"/>
        <w:ind w:firstLine="709"/>
        <w:jc w:val="both"/>
        <w:rPr>
          <w:b/>
          <w:sz w:val="26"/>
          <w:szCs w:val="26"/>
        </w:rPr>
      </w:pPr>
      <w:r>
        <w:rPr>
          <w:b/>
          <w:sz w:val="26"/>
          <w:szCs w:val="26"/>
        </w:rPr>
        <w:t>Встановлення відповідності кандидата критерію соціальної компетентності.</w:t>
      </w:r>
    </w:p>
    <w:p w14:paraId="6074E270" w14:textId="77777777" w:rsidR="00480115" w:rsidRDefault="00480115">
      <w:pPr>
        <w:shd w:val="clear" w:color="auto" w:fill="FFFFFF"/>
        <w:tabs>
          <w:tab w:val="left" w:pos="426"/>
        </w:tabs>
        <w:spacing w:line="276" w:lineRule="auto"/>
        <w:ind w:firstLine="709"/>
        <w:jc w:val="both"/>
        <w:rPr>
          <w:sz w:val="26"/>
          <w:szCs w:val="26"/>
        </w:rPr>
      </w:pPr>
    </w:p>
    <w:p w14:paraId="7F1FCAFC" w14:textId="77777777" w:rsidR="00480115" w:rsidRDefault="00E45D5E">
      <w:pPr>
        <w:shd w:val="clear" w:color="auto" w:fill="FFFFFF"/>
        <w:tabs>
          <w:tab w:val="left" w:pos="426"/>
        </w:tabs>
        <w:spacing w:line="276" w:lineRule="auto"/>
        <w:ind w:firstLine="709"/>
        <w:jc w:val="both"/>
        <w:rPr>
          <w:sz w:val="26"/>
          <w:szCs w:val="26"/>
        </w:rPr>
      </w:pPr>
      <w:r>
        <w:rPr>
          <w:sz w:val="26"/>
          <w:szCs w:val="26"/>
        </w:rPr>
        <w:lastRenderedPageBreak/>
        <w:t>Відповідність кандидата критерію соціальної компетентності визначається через призму його відповідності таким показникам:</w:t>
      </w:r>
    </w:p>
    <w:p w14:paraId="01BB1FC2" w14:textId="77777777" w:rsidR="00480115" w:rsidRDefault="00E45D5E">
      <w:pPr>
        <w:shd w:val="clear" w:color="auto" w:fill="FFFFFF"/>
        <w:tabs>
          <w:tab w:val="left" w:pos="426"/>
        </w:tabs>
        <w:spacing w:line="276" w:lineRule="auto"/>
        <w:ind w:firstLine="709"/>
        <w:jc w:val="both"/>
        <w:rPr>
          <w:sz w:val="26"/>
          <w:szCs w:val="26"/>
        </w:rPr>
      </w:pPr>
      <w:r>
        <w:rPr>
          <w:sz w:val="26"/>
          <w:szCs w:val="26"/>
        </w:rPr>
        <w:t>1. Ефективна комунікація.</w:t>
      </w:r>
    </w:p>
    <w:p w14:paraId="02BE12D9" w14:textId="77777777" w:rsidR="00480115" w:rsidRDefault="00E45D5E">
      <w:pPr>
        <w:shd w:val="clear" w:color="auto" w:fill="FFFFFF"/>
        <w:tabs>
          <w:tab w:val="left" w:pos="426"/>
        </w:tabs>
        <w:spacing w:line="276" w:lineRule="auto"/>
        <w:ind w:firstLine="709"/>
        <w:jc w:val="both"/>
        <w:rPr>
          <w:sz w:val="26"/>
          <w:szCs w:val="26"/>
        </w:rPr>
      </w:pPr>
      <w:r>
        <w:rPr>
          <w:sz w:val="26"/>
          <w:szCs w:val="26"/>
        </w:rPr>
        <w:t>2. Ефективна взаємодія.</w:t>
      </w:r>
    </w:p>
    <w:p w14:paraId="50E5B93E" w14:textId="77777777" w:rsidR="00480115" w:rsidRDefault="00E45D5E">
      <w:pPr>
        <w:shd w:val="clear" w:color="auto" w:fill="FFFFFF"/>
        <w:tabs>
          <w:tab w:val="left" w:pos="426"/>
        </w:tabs>
        <w:spacing w:line="276" w:lineRule="auto"/>
        <w:ind w:firstLine="709"/>
        <w:jc w:val="both"/>
        <w:rPr>
          <w:sz w:val="26"/>
          <w:szCs w:val="26"/>
        </w:rPr>
      </w:pPr>
      <w:r>
        <w:rPr>
          <w:sz w:val="26"/>
          <w:szCs w:val="26"/>
        </w:rPr>
        <w:t>3. Стійкість мотивації.</w:t>
      </w:r>
    </w:p>
    <w:p w14:paraId="18006905" w14:textId="77777777" w:rsidR="00480115" w:rsidRDefault="00E45D5E">
      <w:pPr>
        <w:shd w:val="clear" w:color="auto" w:fill="FFFFFF"/>
        <w:tabs>
          <w:tab w:val="left" w:pos="426"/>
        </w:tabs>
        <w:spacing w:line="276" w:lineRule="auto"/>
        <w:ind w:firstLine="709"/>
        <w:jc w:val="both"/>
        <w:rPr>
          <w:sz w:val="26"/>
          <w:szCs w:val="26"/>
        </w:rPr>
      </w:pPr>
      <w:r>
        <w:rPr>
          <w:sz w:val="26"/>
          <w:szCs w:val="26"/>
        </w:rPr>
        <w:t>4. Емоційна стійкість.</w:t>
      </w:r>
    </w:p>
    <w:p w14:paraId="62C9AD6C" w14:textId="77777777" w:rsidR="00480115" w:rsidRDefault="00E45D5E">
      <w:pPr>
        <w:shd w:val="clear" w:color="auto" w:fill="FFFFFF"/>
        <w:tabs>
          <w:tab w:val="left" w:pos="426"/>
        </w:tabs>
        <w:spacing w:line="276" w:lineRule="auto"/>
        <w:ind w:firstLine="709"/>
        <w:jc w:val="both"/>
        <w:rPr>
          <w:sz w:val="26"/>
          <w:szCs w:val="26"/>
        </w:rPr>
      </w:pPr>
      <w:r>
        <w:rPr>
          <w:sz w:val="26"/>
          <w:szCs w:val="26"/>
        </w:rPr>
        <w:t>Вагу критерію соціальної компетентності та його показників визначено таким чином: соціальна компетентність – 50 балів, з яких: ефективна комунікація – 12,5 бала; ефективна взаємодія – 12,5 бала; стійкість мотивації – 12,5 бала; емоційна стійкість – 12,5 бала.</w:t>
      </w:r>
    </w:p>
    <w:p w14:paraId="6E0EE272" w14:textId="77777777" w:rsidR="00480115" w:rsidRDefault="00E45D5E">
      <w:pPr>
        <w:shd w:val="clear" w:color="auto" w:fill="FFFFFF"/>
        <w:tabs>
          <w:tab w:val="left" w:pos="426"/>
        </w:tabs>
        <w:spacing w:line="276" w:lineRule="auto"/>
        <w:ind w:firstLine="709"/>
        <w:jc w:val="both"/>
        <w:rPr>
          <w:sz w:val="26"/>
          <w:szCs w:val="26"/>
        </w:rPr>
      </w:pPr>
      <w:r>
        <w:rPr>
          <w:sz w:val="26"/>
          <w:szCs w:val="26"/>
        </w:rPr>
        <w:t>Пунктом 5.5 розділу 5 Положення встановлено, що кандидат на посаду судді вважається таким, що відповідає критерію соціальної компетентності, у разі набрання не менше 75 відсотків від суми максимально можливого бала за критерій за результатами його оцінювання на етапі «Дослідження досьє та проведення співбесіди».</w:t>
      </w:r>
    </w:p>
    <w:p w14:paraId="4C1223ED" w14:textId="77777777" w:rsidR="00480115" w:rsidRDefault="00E45D5E">
      <w:pPr>
        <w:shd w:val="clear" w:color="auto" w:fill="FFFFFF"/>
        <w:tabs>
          <w:tab w:val="left" w:pos="426"/>
        </w:tabs>
        <w:spacing w:line="276" w:lineRule="auto"/>
        <w:ind w:firstLine="709"/>
        <w:jc w:val="both"/>
        <w:rPr>
          <w:sz w:val="26"/>
          <w:szCs w:val="26"/>
        </w:rPr>
      </w:pPr>
      <w:r>
        <w:rPr>
          <w:sz w:val="26"/>
          <w:szCs w:val="26"/>
        </w:rPr>
        <w:t>Аналогічно оцінюванню відповідності критерію особистої компетентності при оцінюванні відповідності кандидата критерію соціальної компетентності, 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що мають значення для оцінки соціальної компетентності.</w:t>
      </w:r>
    </w:p>
    <w:p w14:paraId="6EF92651" w14:textId="77777777" w:rsidR="00480115" w:rsidRDefault="00E45D5E">
      <w:pPr>
        <w:shd w:val="clear" w:color="auto" w:fill="FFFFFF"/>
        <w:tabs>
          <w:tab w:val="left" w:pos="426"/>
        </w:tabs>
        <w:spacing w:line="276" w:lineRule="auto"/>
        <w:ind w:firstLine="709"/>
        <w:jc w:val="both"/>
        <w:rPr>
          <w:sz w:val="26"/>
          <w:szCs w:val="26"/>
        </w:rPr>
      </w:pPr>
      <w:r>
        <w:rPr>
          <w:sz w:val="26"/>
          <w:szCs w:val="26"/>
        </w:rPr>
        <w:t>Таким чином, оцінювання кандидата за критерієм соціальної компетентності здійснюється за активної участі кандидата в підтвердженні своєї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673FEEDB" w14:textId="77777777" w:rsidR="00480115" w:rsidRDefault="00E45D5E">
      <w:pPr>
        <w:shd w:val="clear" w:color="auto" w:fill="FFFFFF"/>
        <w:tabs>
          <w:tab w:val="left" w:pos="426"/>
        </w:tabs>
        <w:spacing w:line="276" w:lineRule="auto"/>
        <w:ind w:firstLine="709"/>
        <w:jc w:val="both"/>
        <w:rPr>
          <w:sz w:val="26"/>
          <w:szCs w:val="26"/>
        </w:rPr>
      </w:pPr>
      <w:r>
        <w:rPr>
          <w:sz w:val="26"/>
          <w:szCs w:val="26"/>
        </w:rPr>
        <w:t>При оцінюванні критерію соціальної компетентності за аналогією з оцінюванням особистої компетентності не менш важлива роль у формуванні стійкого уявлення члена Комісії про рівень відповідності кандидата на посаду судді цьому критерію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14:paraId="1ABB23F3" w14:textId="77777777" w:rsidR="00480115" w:rsidRDefault="00E45D5E">
      <w:pPr>
        <w:shd w:val="clear" w:color="auto" w:fill="FFFFFF"/>
        <w:tabs>
          <w:tab w:val="left" w:pos="426"/>
        </w:tabs>
        <w:spacing w:line="276" w:lineRule="auto"/>
        <w:ind w:firstLine="709"/>
        <w:jc w:val="both"/>
        <w:rPr>
          <w:sz w:val="26"/>
          <w:szCs w:val="26"/>
        </w:rPr>
      </w:pPr>
      <w:r>
        <w:rPr>
          <w:sz w:val="26"/>
          <w:szCs w:val="26"/>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логічно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w:t>
      </w:r>
      <w:r>
        <w:rPr>
          <w:sz w:val="26"/>
          <w:szCs w:val="26"/>
        </w:rPr>
        <w:lastRenderedPageBreak/>
        <w:t>комунікативного контексту та працювати у взаємодії з іншими, що є ключовими елементами соціальної компетентності судді.</w:t>
      </w:r>
    </w:p>
    <w:p w14:paraId="185ED355" w14:textId="77777777" w:rsidR="00480115" w:rsidRDefault="00E45D5E">
      <w:pPr>
        <w:shd w:val="clear" w:color="auto" w:fill="FFFFFF"/>
        <w:tabs>
          <w:tab w:val="left" w:pos="426"/>
        </w:tabs>
        <w:spacing w:line="276" w:lineRule="auto"/>
        <w:ind w:firstLine="709"/>
        <w:jc w:val="both"/>
        <w:rPr>
          <w:sz w:val="26"/>
          <w:szCs w:val="26"/>
        </w:rPr>
      </w:pPr>
      <w:r>
        <w:rPr>
          <w:sz w:val="26"/>
          <w:szCs w:val="26"/>
        </w:rPr>
        <w:t>Саме під час співбесіди формується остаточна оцінка кандидата на посаду судді. У зв’язку із цим Комісія підкреслює, що оцінювання соціальної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08DE243F" w14:textId="77777777" w:rsidR="00480115" w:rsidRDefault="00E45D5E">
      <w:pPr>
        <w:shd w:val="clear" w:color="auto" w:fill="FFFFFF"/>
        <w:tabs>
          <w:tab w:val="left" w:pos="426"/>
        </w:tabs>
        <w:spacing w:line="276" w:lineRule="auto"/>
        <w:ind w:firstLine="709"/>
        <w:jc w:val="both"/>
        <w:rPr>
          <w:sz w:val="26"/>
          <w:szCs w:val="26"/>
        </w:rPr>
      </w:pPr>
      <w:r>
        <w:rPr>
          <w:sz w:val="26"/>
          <w:szCs w:val="26"/>
        </w:rPr>
        <w:t>Пунктом 5.7 Положення передбачено, що 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w:t>
      </w:r>
    </w:p>
    <w:p w14:paraId="4D21397C" w14:textId="77777777" w:rsidR="00480115" w:rsidRDefault="00E45D5E">
      <w:pPr>
        <w:shd w:val="clear" w:color="auto" w:fill="FFFFFF"/>
        <w:tabs>
          <w:tab w:val="left" w:pos="426"/>
        </w:tabs>
        <w:spacing w:line="276" w:lineRule="auto"/>
        <w:ind w:firstLine="709"/>
        <w:jc w:val="both"/>
        <w:rPr>
          <w:sz w:val="26"/>
          <w:szCs w:val="26"/>
        </w:rPr>
      </w:pPr>
      <w:r>
        <w:rPr>
          <w:sz w:val="26"/>
          <w:szCs w:val="26"/>
        </w:rPr>
        <w:t>Надані Марченко Н.Ю. документи, а також її відповіді під час послідовного обговорення показників соціальної компетентності на співбесіді індивідуально оцінено членами Комісії у складі колегії таким чином:</w:t>
      </w:r>
    </w:p>
    <w:p w14:paraId="0EA73785" w14:textId="77777777" w:rsidR="00480115" w:rsidRDefault="00480115">
      <w:pPr>
        <w:shd w:val="clear" w:color="auto" w:fill="FFFFFF"/>
        <w:tabs>
          <w:tab w:val="left" w:pos="426"/>
        </w:tabs>
        <w:spacing w:line="276" w:lineRule="auto"/>
        <w:ind w:firstLine="709"/>
        <w:jc w:val="both"/>
        <w:rPr>
          <w:sz w:val="28"/>
          <w:szCs w:val="28"/>
        </w:rPr>
      </w:pPr>
    </w:p>
    <w:tbl>
      <w:tblPr>
        <w:tblW w:w="4950" w:type="pct"/>
        <w:tblLayout w:type="fixed"/>
        <w:tblCellMar>
          <w:top w:w="30" w:type="dxa"/>
          <w:left w:w="45" w:type="dxa"/>
          <w:bottom w:w="30" w:type="dxa"/>
          <w:right w:w="45" w:type="dxa"/>
        </w:tblCellMar>
        <w:tblLook w:val="04A0" w:firstRow="1" w:lastRow="0" w:firstColumn="1" w:lastColumn="0" w:noHBand="0" w:noVBand="1"/>
      </w:tblPr>
      <w:tblGrid>
        <w:gridCol w:w="1686"/>
        <w:gridCol w:w="2476"/>
        <w:gridCol w:w="1029"/>
        <w:gridCol w:w="955"/>
        <w:gridCol w:w="915"/>
        <w:gridCol w:w="1383"/>
        <w:gridCol w:w="1011"/>
      </w:tblGrid>
      <w:tr w:rsidR="00480115" w14:paraId="6779A1E1" w14:textId="77777777" w:rsidTr="00063F73">
        <w:trPr>
          <w:cantSplit/>
          <w:trHeight w:val="20"/>
        </w:trPr>
        <w:tc>
          <w:tcPr>
            <w:tcW w:w="1686"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4009AB41" w14:textId="77777777" w:rsidR="00480115" w:rsidRDefault="00E45D5E">
            <w:pPr>
              <w:spacing w:line="276" w:lineRule="auto"/>
              <w:jc w:val="center"/>
              <w:rPr>
                <w:sz w:val="22"/>
                <w:szCs w:val="22"/>
              </w:rPr>
            </w:pPr>
            <w:r>
              <w:rPr>
                <w:sz w:val="22"/>
                <w:szCs w:val="22"/>
              </w:rPr>
              <w:t>Критерій</w:t>
            </w:r>
          </w:p>
        </w:tc>
        <w:tc>
          <w:tcPr>
            <w:tcW w:w="2476"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4DFBB075" w14:textId="77777777" w:rsidR="00480115" w:rsidRDefault="00E45D5E">
            <w:pPr>
              <w:spacing w:line="276" w:lineRule="auto"/>
              <w:jc w:val="center"/>
              <w:rPr>
                <w:sz w:val="22"/>
                <w:szCs w:val="22"/>
              </w:rPr>
            </w:pPr>
            <w:r>
              <w:rPr>
                <w:sz w:val="22"/>
                <w:szCs w:val="22"/>
              </w:rPr>
              <w:t>Показник</w:t>
            </w:r>
          </w:p>
        </w:tc>
        <w:tc>
          <w:tcPr>
            <w:tcW w:w="2899" w:type="dxa"/>
            <w:gridSpan w:val="3"/>
            <w:tcBorders>
              <w:top w:val="single" w:sz="12" w:space="0" w:color="000000"/>
              <w:left w:val="single" w:sz="12" w:space="0" w:color="000000"/>
              <w:bottom w:val="single" w:sz="12" w:space="0" w:color="000000"/>
              <w:right w:val="single" w:sz="12" w:space="0" w:color="000000"/>
            </w:tcBorders>
            <w:shd w:val="clear" w:color="auto" w:fill="F2F2F2"/>
            <w:vAlign w:val="center"/>
          </w:tcPr>
          <w:p w14:paraId="4BAD5C28" w14:textId="77777777" w:rsidR="00480115" w:rsidRDefault="00E45D5E">
            <w:pPr>
              <w:spacing w:line="276" w:lineRule="auto"/>
              <w:jc w:val="center"/>
              <w:rPr>
                <w:sz w:val="22"/>
                <w:szCs w:val="22"/>
              </w:rPr>
            </w:pPr>
            <w:r>
              <w:rPr>
                <w:sz w:val="22"/>
                <w:szCs w:val="22"/>
              </w:rPr>
              <w:t>Бали, виставлені членами Комісії за показниками</w:t>
            </w:r>
          </w:p>
        </w:tc>
        <w:tc>
          <w:tcPr>
            <w:tcW w:w="1383"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54B55AB3" w14:textId="77777777" w:rsidR="00480115" w:rsidRDefault="00E45D5E">
            <w:pPr>
              <w:spacing w:line="276" w:lineRule="auto"/>
              <w:jc w:val="center"/>
              <w:rPr>
                <w:sz w:val="22"/>
                <w:szCs w:val="22"/>
              </w:rPr>
            </w:pPr>
            <w:r>
              <w:rPr>
                <w:sz w:val="22"/>
                <w:szCs w:val="22"/>
              </w:rPr>
              <w:t>Розрахований згідно з пунктом 5.7 Положення середній бал</w:t>
            </w:r>
          </w:p>
        </w:tc>
        <w:tc>
          <w:tcPr>
            <w:tcW w:w="1011"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4C655BA5" w14:textId="77777777" w:rsidR="00480115" w:rsidRDefault="00E45D5E">
            <w:pPr>
              <w:spacing w:line="276" w:lineRule="auto"/>
              <w:jc w:val="center"/>
              <w:rPr>
                <w:sz w:val="22"/>
                <w:szCs w:val="22"/>
              </w:rPr>
            </w:pPr>
            <w:r>
              <w:rPr>
                <w:sz w:val="22"/>
                <w:szCs w:val="22"/>
              </w:rPr>
              <w:t>Бал за критерій</w:t>
            </w:r>
          </w:p>
        </w:tc>
      </w:tr>
      <w:tr w:rsidR="00480115" w14:paraId="4E101EA2" w14:textId="77777777" w:rsidTr="00063F73">
        <w:trPr>
          <w:cantSplit/>
          <w:trHeight w:val="569"/>
        </w:trPr>
        <w:tc>
          <w:tcPr>
            <w:tcW w:w="1686" w:type="dxa"/>
            <w:vMerge w:val="restart"/>
            <w:tcBorders>
              <w:top w:val="single" w:sz="12" w:space="0" w:color="000000"/>
              <w:left w:val="single" w:sz="12" w:space="0" w:color="000000"/>
              <w:bottom w:val="single" w:sz="12" w:space="0" w:color="000000"/>
              <w:right w:val="single" w:sz="12" w:space="0" w:color="000000"/>
            </w:tcBorders>
            <w:vAlign w:val="center"/>
          </w:tcPr>
          <w:p w14:paraId="404425E1" w14:textId="77777777" w:rsidR="00480115" w:rsidRDefault="00E45D5E">
            <w:pPr>
              <w:spacing w:line="276" w:lineRule="auto"/>
              <w:rPr>
                <w:sz w:val="22"/>
                <w:szCs w:val="22"/>
              </w:rPr>
            </w:pPr>
            <w:r>
              <w:rPr>
                <w:sz w:val="22"/>
                <w:szCs w:val="22"/>
              </w:rPr>
              <w:t>соціальна компетентність</w:t>
            </w:r>
          </w:p>
        </w:tc>
        <w:tc>
          <w:tcPr>
            <w:tcW w:w="2476" w:type="dxa"/>
            <w:tcBorders>
              <w:top w:val="single" w:sz="12" w:space="0" w:color="000000"/>
              <w:left w:val="single" w:sz="12" w:space="0" w:color="000000"/>
              <w:bottom w:val="single" w:sz="12" w:space="0" w:color="000000"/>
              <w:right w:val="single" w:sz="12" w:space="0" w:color="000000"/>
            </w:tcBorders>
            <w:vAlign w:val="center"/>
          </w:tcPr>
          <w:p w14:paraId="116E0D38" w14:textId="77777777" w:rsidR="00480115" w:rsidRDefault="00E45D5E">
            <w:pPr>
              <w:spacing w:line="276" w:lineRule="auto"/>
              <w:jc w:val="center"/>
              <w:rPr>
                <w:sz w:val="22"/>
                <w:szCs w:val="22"/>
              </w:rPr>
            </w:pPr>
            <w:r>
              <w:rPr>
                <w:sz w:val="22"/>
                <w:szCs w:val="22"/>
              </w:rPr>
              <w:t>ефективна комунікація</w:t>
            </w:r>
          </w:p>
        </w:tc>
        <w:tc>
          <w:tcPr>
            <w:tcW w:w="1029" w:type="dxa"/>
            <w:tcBorders>
              <w:top w:val="single" w:sz="12" w:space="0" w:color="000000"/>
              <w:left w:val="single" w:sz="12" w:space="0" w:color="000000"/>
              <w:bottom w:val="single" w:sz="12" w:space="0" w:color="000000"/>
              <w:right w:val="single" w:sz="12" w:space="0" w:color="000000"/>
            </w:tcBorders>
            <w:vAlign w:val="center"/>
          </w:tcPr>
          <w:p w14:paraId="45FDE713" w14:textId="77777777" w:rsidR="00480115" w:rsidRDefault="00E45D5E">
            <w:pPr>
              <w:spacing w:line="276" w:lineRule="auto"/>
              <w:jc w:val="center"/>
              <w:rPr>
                <w:sz w:val="22"/>
                <w:szCs w:val="22"/>
              </w:rPr>
            </w:pPr>
            <w:r>
              <w:rPr>
                <w:sz w:val="22"/>
                <w:szCs w:val="22"/>
              </w:rPr>
              <w:t>9</w:t>
            </w:r>
          </w:p>
        </w:tc>
        <w:tc>
          <w:tcPr>
            <w:tcW w:w="955" w:type="dxa"/>
            <w:tcBorders>
              <w:top w:val="single" w:sz="12" w:space="0" w:color="000000"/>
              <w:left w:val="single" w:sz="12" w:space="0" w:color="000000"/>
              <w:bottom w:val="single" w:sz="12" w:space="0" w:color="000000"/>
              <w:right w:val="single" w:sz="12" w:space="0" w:color="000000"/>
            </w:tcBorders>
            <w:vAlign w:val="center"/>
          </w:tcPr>
          <w:p w14:paraId="3896938D" w14:textId="77777777" w:rsidR="00480115" w:rsidRDefault="00E45D5E">
            <w:pPr>
              <w:spacing w:line="276" w:lineRule="auto"/>
              <w:jc w:val="center"/>
              <w:rPr>
                <w:sz w:val="22"/>
                <w:szCs w:val="22"/>
              </w:rPr>
            </w:pPr>
            <w:r>
              <w:rPr>
                <w:sz w:val="22"/>
                <w:szCs w:val="22"/>
              </w:rPr>
              <w:t>10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03A7654A" w14:textId="77777777" w:rsidR="00480115" w:rsidRDefault="00E45D5E">
            <w:pPr>
              <w:spacing w:line="276" w:lineRule="auto"/>
              <w:jc w:val="center"/>
              <w:rPr>
                <w:sz w:val="22"/>
                <w:szCs w:val="22"/>
              </w:rPr>
            </w:pPr>
            <w:r>
              <w:rPr>
                <w:sz w:val="22"/>
                <w:szCs w:val="22"/>
              </w:rPr>
              <w:t>10</w:t>
            </w:r>
          </w:p>
        </w:tc>
        <w:tc>
          <w:tcPr>
            <w:tcW w:w="1383" w:type="dxa"/>
            <w:tcBorders>
              <w:top w:val="single" w:sz="12" w:space="0" w:color="000000"/>
              <w:left w:val="single" w:sz="12" w:space="0" w:color="000000"/>
              <w:bottom w:val="single" w:sz="12" w:space="0" w:color="000000"/>
              <w:right w:val="single" w:sz="12" w:space="0" w:color="000000"/>
            </w:tcBorders>
            <w:vAlign w:val="center"/>
          </w:tcPr>
          <w:p w14:paraId="47E56BEC" w14:textId="77777777" w:rsidR="00480115" w:rsidRDefault="00E45D5E">
            <w:pPr>
              <w:spacing w:line="276" w:lineRule="auto"/>
              <w:jc w:val="center"/>
              <w:rPr>
                <w:sz w:val="22"/>
                <w:szCs w:val="22"/>
              </w:rPr>
            </w:pPr>
            <w:r>
              <w:rPr>
                <w:sz w:val="22"/>
                <w:szCs w:val="22"/>
              </w:rPr>
              <w:t>9,67</w:t>
            </w:r>
          </w:p>
        </w:tc>
        <w:tc>
          <w:tcPr>
            <w:tcW w:w="1011" w:type="dxa"/>
            <w:vMerge w:val="restart"/>
            <w:tcBorders>
              <w:top w:val="single" w:sz="12" w:space="0" w:color="000000"/>
              <w:left w:val="single" w:sz="12" w:space="0" w:color="000000"/>
              <w:bottom w:val="single" w:sz="12" w:space="0" w:color="000000"/>
              <w:right w:val="single" w:sz="12" w:space="0" w:color="000000"/>
            </w:tcBorders>
            <w:vAlign w:val="center"/>
          </w:tcPr>
          <w:p w14:paraId="476A24BC" w14:textId="77777777" w:rsidR="00480115" w:rsidRDefault="00E45D5E">
            <w:pPr>
              <w:spacing w:line="276" w:lineRule="auto"/>
              <w:jc w:val="center"/>
              <w:rPr>
                <w:sz w:val="22"/>
                <w:szCs w:val="22"/>
              </w:rPr>
            </w:pPr>
            <w:r>
              <w:rPr>
                <w:sz w:val="22"/>
                <w:szCs w:val="22"/>
              </w:rPr>
              <w:t>40,34</w:t>
            </w:r>
          </w:p>
        </w:tc>
      </w:tr>
      <w:tr w:rsidR="00480115" w14:paraId="26E2D475" w14:textId="77777777" w:rsidTr="00063F73">
        <w:trPr>
          <w:cantSplit/>
          <w:trHeight w:val="479"/>
        </w:trPr>
        <w:tc>
          <w:tcPr>
            <w:tcW w:w="1686"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5B73FAA0" w14:textId="77777777" w:rsidR="00480115" w:rsidRDefault="00480115">
            <w:pPr>
              <w:spacing w:line="276" w:lineRule="auto"/>
              <w:rPr>
                <w:sz w:val="22"/>
                <w:szCs w:val="22"/>
              </w:rPr>
            </w:pPr>
          </w:p>
        </w:tc>
        <w:tc>
          <w:tcPr>
            <w:tcW w:w="2476" w:type="dxa"/>
            <w:tcBorders>
              <w:top w:val="single" w:sz="12" w:space="0" w:color="000000"/>
              <w:left w:val="single" w:sz="12" w:space="0" w:color="000000"/>
              <w:bottom w:val="single" w:sz="12" w:space="0" w:color="000000"/>
              <w:right w:val="single" w:sz="12" w:space="0" w:color="000000"/>
            </w:tcBorders>
            <w:vAlign w:val="center"/>
          </w:tcPr>
          <w:p w14:paraId="0B62BACC" w14:textId="77777777" w:rsidR="00480115" w:rsidRDefault="00E45D5E">
            <w:pPr>
              <w:spacing w:line="276" w:lineRule="auto"/>
              <w:jc w:val="center"/>
              <w:rPr>
                <w:sz w:val="22"/>
                <w:szCs w:val="22"/>
              </w:rPr>
            </w:pPr>
            <w:r>
              <w:rPr>
                <w:sz w:val="22"/>
                <w:szCs w:val="22"/>
              </w:rPr>
              <w:t>ефективна взаємодія</w:t>
            </w:r>
          </w:p>
        </w:tc>
        <w:tc>
          <w:tcPr>
            <w:tcW w:w="1029" w:type="dxa"/>
            <w:tcBorders>
              <w:top w:val="single" w:sz="12" w:space="0" w:color="000000"/>
              <w:left w:val="single" w:sz="12" w:space="0" w:color="000000"/>
              <w:bottom w:val="single" w:sz="12" w:space="0" w:color="000000"/>
              <w:right w:val="single" w:sz="12" w:space="0" w:color="000000"/>
            </w:tcBorders>
            <w:vAlign w:val="center"/>
          </w:tcPr>
          <w:p w14:paraId="65A4E273" w14:textId="77777777" w:rsidR="00480115" w:rsidRDefault="00E45D5E">
            <w:pPr>
              <w:spacing w:line="276" w:lineRule="auto"/>
              <w:jc w:val="center"/>
              <w:rPr>
                <w:sz w:val="22"/>
                <w:szCs w:val="22"/>
              </w:rPr>
            </w:pPr>
            <w:r>
              <w:rPr>
                <w:sz w:val="22"/>
                <w:szCs w:val="22"/>
              </w:rPr>
              <w:t>9</w:t>
            </w:r>
          </w:p>
        </w:tc>
        <w:tc>
          <w:tcPr>
            <w:tcW w:w="955" w:type="dxa"/>
            <w:tcBorders>
              <w:top w:val="single" w:sz="12" w:space="0" w:color="000000"/>
              <w:left w:val="single" w:sz="12" w:space="0" w:color="000000"/>
              <w:bottom w:val="single" w:sz="12" w:space="0" w:color="000000"/>
              <w:right w:val="single" w:sz="12" w:space="0" w:color="000000"/>
            </w:tcBorders>
            <w:vAlign w:val="center"/>
          </w:tcPr>
          <w:p w14:paraId="0190346A" w14:textId="77777777" w:rsidR="00480115" w:rsidRDefault="00E45D5E">
            <w:pPr>
              <w:spacing w:line="276" w:lineRule="auto"/>
              <w:jc w:val="center"/>
              <w:rPr>
                <w:sz w:val="22"/>
                <w:szCs w:val="22"/>
              </w:rPr>
            </w:pPr>
            <w:r>
              <w:rPr>
                <w:sz w:val="22"/>
                <w:szCs w:val="22"/>
              </w:rPr>
              <w:t>10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143789CC" w14:textId="77777777" w:rsidR="00480115" w:rsidRDefault="00E45D5E">
            <w:pPr>
              <w:spacing w:line="276" w:lineRule="auto"/>
              <w:jc w:val="center"/>
              <w:rPr>
                <w:sz w:val="22"/>
                <w:szCs w:val="22"/>
              </w:rPr>
            </w:pPr>
            <w:r>
              <w:rPr>
                <w:sz w:val="22"/>
                <w:szCs w:val="22"/>
              </w:rPr>
              <w:t>10</w:t>
            </w:r>
          </w:p>
        </w:tc>
        <w:tc>
          <w:tcPr>
            <w:tcW w:w="1383" w:type="dxa"/>
            <w:tcBorders>
              <w:top w:val="single" w:sz="12" w:space="0" w:color="000000"/>
              <w:left w:val="single" w:sz="12" w:space="0" w:color="000000"/>
              <w:bottom w:val="single" w:sz="12" w:space="0" w:color="000000"/>
              <w:right w:val="single" w:sz="12" w:space="0" w:color="000000"/>
            </w:tcBorders>
            <w:vAlign w:val="center"/>
          </w:tcPr>
          <w:p w14:paraId="31AE0EEF" w14:textId="77777777" w:rsidR="00480115" w:rsidRDefault="00E45D5E">
            <w:pPr>
              <w:spacing w:line="276" w:lineRule="auto"/>
              <w:jc w:val="center"/>
              <w:rPr>
                <w:sz w:val="22"/>
                <w:szCs w:val="22"/>
              </w:rPr>
            </w:pPr>
            <w:r>
              <w:rPr>
                <w:sz w:val="22"/>
                <w:szCs w:val="22"/>
              </w:rPr>
              <w:t>9,67</w:t>
            </w:r>
          </w:p>
        </w:tc>
        <w:tc>
          <w:tcPr>
            <w:tcW w:w="1011"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7D7FB229" w14:textId="77777777" w:rsidR="00480115" w:rsidRDefault="00480115">
            <w:pPr>
              <w:spacing w:line="276" w:lineRule="auto"/>
              <w:rPr>
                <w:sz w:val="22"/>
                <w:szCs w:val="22"/>
              </w:rPr>
            </w:pPr>
          </w:p>
        </w:tc>
      </w:tr>
      <w:tr w:rsidR="00480115" w14:paraId="323F3F72" w14:textId="77777777" w:rsidTr="00063F73">
        <w:trPr>
          <w:cantSplit/>
          <w:trHeight w:val="473"/>
        </w:trPr>
        <w:tc>
          <w:tcPr>
            <w:tcW w:w="1686"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66FD4A78" w14:textId="77777777" w:rsidR="00480115" w:rsidRDefault="00480115">
            <w:pPr>
              <w:spacing w:line="276" w:lineRule="auto"/>
              <w:rPr>
                <w:sz w:val="22"/>
                <w:szCs w:val="22"/>
              </w:rPr>
            </w:pPr>
          </w:p>
        </w:tc>
        <w:tc>
          <w:tcPr>
            <w:tcW w:w="2476" w:type="dxa"/>
            <w:tcBorders>
              <w:top w:val="single" w:sz="12" w:space="0" w:color="000000"/>
              <w:left w:val="single" w:sz="12" w:space="0" w:color="000000"/>
              <w:bottom w:val="single" w:sz="12" w:space="0" w:color="000000"/>
              <w:right w:val="single" w:sz="12" w:space="0" w:color="000000"/>
            </w:tcBorders>
            <w:vAlign w:val="center"/>
          </w:tcPr>
          <w:p w14:paraId="1E1EBFC1" w14:textId="77777777" w:rsidR="00480115" w:rsidRDefault="00E45D5E">
            <w:pPr>
              <w:spacing w:line="276" w:lineRule="auto"/>
              <w:jc w:val="center"/>
              <w:rPr>
                <w:sz w:val="22"/>
                <w:szCs w:val="22"/>
              </w:rPr>
            </w:pPr>
            <w:r>
              <w:rPr>
                <w:sz w:val="22"/>
                <w:szCs w:val="22"/>
              </w:rPr>
              <w:t>стійкість мотивації</w:t>
            </w:r>
          </w:p>
        </w:tc>
        <w:tc>
          <w:tcPr>
            <w:tcW w:w="1029" w:type="dxa"/>
            <w:tcBorders>
              <w:top w:val="single" w:sz="12" w:space="0" w:color="000000"/>
              <w:left w:val="single" w:sz="12" w:space="0" w:color="000000"/>
              <w:bottom w:val="single" w:sz="12" w:space="0" w:color="000000"/>
              <w:right w:val="single" w:sz="12" w:space="0" w:color="000000"/>
            </w:tcBorders>
            <w:vAlign w:val="center"/>
          </w:tcPr>
          <w:p w14:paraId="1CAF00A5" w14:textId="77777777" w:rsidR="00480115" w:rsidRDefault="00E45D5E">
            <w:pPr>
              <w:spacing w:line="276" w:lineRule="auto"/>
              <w:jc w:val="center"/>
              <w:rPr>
                <w:sz w:val="22"/>
                <w:szCs w:val="22"/>
              </w:rPr>
            </w:pPr>
            <w:r>
              <w:rPr>
                <w:sz w:val="22"/>
                <w:szCs w:val="22"/>
              </w:rPr>
              <w:t>11</w:t>
            </w:r>
          </w:p>
        </w:tc>
        <w:tc>
          <w:tcPr>
            <w:tcW w:w="955" w:type="dxa"/>
            <w:tcBorders>
              <w:top w:val="single" w:sz="12" w:space="0" w:color="000000"/>
              <w:left w:val="single" w:sz="12" w:space="0" w:color="000000"/>
              <w:bottom w:val="single" w:sz="12" w:space="0" w:color="000000"/>
              <w:right w:val="single" w:sz="12" w:space="0" w:color="000000"/>
            </w:tcBorders>
            <w:vAlign w:val="center"/>
          </w:tcPr>
          <w:p w14:paraId="00B86FE5" w14:textId="77777777" w:rsidR="00480115" w:rsidRDefault="00E45D5E">
            <w:pPr>
              <w:spacing w:line="276" w:lineRule="auto"/>
              <w:jc w:val="center"/>
              <w:rPr>
                <w:sz w:val="22"/>
                <w:szCs w:val="22"/>
              </w:rPr>
            </w:pPr>
            <w:r>
              <w:rPr>
                <w:sz w:val="22"/>
                <w:szCs w:val="22"/>
              </w:rPr>
              <w:t>11</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3EA94F47" w14:textId="77777777" w:rsidR="00480115" w:rsidRDefault="00E45D5E">
            <w:pPr>
              <w:spacing w:line="276" w:lineRule="auto"/>
              <w:jc w:val="center"/>
              <w:rPr>
                <w:sz w:val="22"/>
                <w:szCs w:val="22"/>
              </w:rPr>
            </w:pPr>
            <w:r>
              <w:rPr>
                <w:sz w:val="22"/>
                <w:szCs w:val="22"/>
              </w:rPr>
              <w:t>11</w:t>
            </w:r>
          </w:p>
        </w:tc>
        <w:tc>
          <w:tcPr>
            <w:tcW w:w="1383" w:type="dxa"/>
            <w:tcBorders>
              <w:top w:val="single" w:sz="12" w:space="0" w:color="000000"/>
              <w:left w:val="single" w:sz="12" w:space="0" w:color="000000"/>
              <w:bottom w:val="single" w:sz="12" w:space="0" w:color="000000"/>
              <w:right w:val="single" w:sz="12" w:space="0" w:color="000000"/>
            </w:tcBorders>
            <w:vAlign w:val="center"/>
          </w:tcPr>
          <w:p w14:paraId="00531B48" w14:textId="77777777" w:rsidR="00480115" w:rsidRDefault="00E45D5E">
            <w:pPr>
              <w:spacing w:line="276" w:lineRule="auto"/>
              <w:jc w:val="center"/>
              <w:rPr>
                <w:sz w:val="22"/>
                <w:szCs w:val="22"/>
              </w:rPr>
            </w:pPr>
            <w:r>
              <w:rPr>
                <w:sz w:val="22"/>
                <w:szCs w:val="22"/>
              </w:rPr>
              <w:t>11</w:t>
            </w:r>
          </w:p>
        </w:tc>
        <w:tc>
          <w:tcPr>
            <w:tcW w:w="1011"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0F4A58D9" w14:textId="77777777" w:rsidR="00480115" w:rsidRDefault="00480115">
            <w:pPr>
              <w:spacing w:line="276" w:lineRule="auto"/>
              <w:rPr>
                <w:sz w:val="22"/>
                <w:szCs w:val="22"/>
              </w:rPr>
            </w:pPr>
          </w:p>
        </w:tc>
      </w:tr>
      <w:tr w:rsidR="00480115" w14:paraId="66121750" w14:textId="77777777" w:rsidTr="00063F73">
        <w:trPr>
          <w:cantSplit/>
          <w:trHeight w:val="481"/>
        </w:trPr>
        <w:tc>
          <w:tcPr>
            <w:tcW w:w="1686"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3F71CC9D" w14:textId="77777777" w:rsidR="00480115" w:rsidRDefault="00480115">
            <w:pPr>
              <w:spacing w:line="276" w:lineRule="auto"/>
              <w:rPr>
                <w:sz w:val="22"/>
                <w:szCs w:val="22"/>
              </w:rPr>
            </w:pPr>
          </w:p>
        </w:tc>
        <w:tc>
          <w:tcPr>
            <w:tcW w:w="2476" w:type="dxa"/>
            <w:tcBorders>
              <w:top w:val="single" w:sz="12" w:space="0" w:color="000000"/>
              <w:left w:val="single" w:sz="12" w:space="0" w:color="000000"/>
              <w:bottom w:val="single" w:sz="12" w:space="0" w:color="000000"/>
              <w:right w:val="single" w:sz="12" w:space="0" w:color="000000"/>
            </w:tcBorders>
            <w:vAlign w:val="center"/>
          </w:tcPr>
          <w:p w14:paraId="0BC38B0A" w14:textId="77777777" w:rsidR="00480115" w:rsidRDefault="00E45D5E">
            <w:pPr>
              <w:spacing w:line="276" w:lineRule="auto"/>
              <w:jc w:val="center"/>
              <w:rPr>
                <w:sz w:val="22"/>
                <w:szCs w:val="22"/>
              </w:rPr>
            </w:pPr>
            <w:r>
              <w:rPr>
                <w:sz w:val="22"/>
                <w:szCs w:val="22"/>
              </w:rPr>
              <w:t>емоційна стійкість</w:t>
            </w:r>
          </w:p>
        </w:tc>
        <w:tc>
          <w:tcPr>
            <w:tcW w:w="1029" w:type="dxa"/>
            <w:tcBorders>
              <w:top w:val="single" w:sz="12" w:space="0" w:color="000000"/>
              <w:left w:val="single" w:sz="12" w:space="0" w:color="000000"/>
              <w:bottom w:val="single" w:sz="12" w:space="0" w:color="000000"/>
              <w:right w:val="single" w:sz="12" w:space="0" w:color="000000"/>
            </w:tcBorders>
            <w:vAlign w:val="center"/>
          </w:tcPr>
          <w:p w14:paraId="67B9B69A" w14:textId="77777777" w:rsidR="00480115" w:rsidRDefault="00E45D5E">
            <w:pPr>
              <w:spacing w:line="276" w:lineRule="auto"/>
              <w:jc w:val="center"/>
              <w:rPr>
                <w:sz w:val="22"/>
                <w:szCs w:val="22"/>
              </w:rPr>
            </w:pPr>
            <w:r>
              <w:rPr>
                <w:sz w:val="22"/>
                <w:szCs w:val="22"/>
              </w:rPr>
              <w:t>10</w:t>
            </w:r>
          </w:p>
        </w:tc>
        <w:tc>
          <w:tcPr>
            <w:tcW w:w="955" w:type="dxa"/>
            <w:tcBorders>
              <w:top w:val="single" w:sz="12" w:space="0" w:color="000000"/>
              <w:left w:val="single" w:sz="12" w:space="0" w:color="000000"/>
              <w:bottom w:val="single" w:sz="12" w:space="0" w:color="000000"/>
              <w:right w:val="single" w:sz="12" w:space="0" w:color="000000"/>
            </w:tcBorders>
            <w:vAlign w:val="center"/>
          </w:tcPr>
          <w:p w14:paraId="5A9F2615" w14:textId="77777777" w:rsidR="00480115" w:rsidRDefault="00E45D5E">
            <w:pPr>
              <w:spacing w:line="276" w:lineRule="auto"/>
              <w:jc w:val="center"/>
              <w:rPr>
                <w:sz w:val="22"/>
                <w:szCs w:val="22"/>
              </w:rPr>
            </w:pPr>
            <w:r>
              <w:rPr>
                <w:sz w:val="22"/>
                <w:szCs w:val="22"/>
              </w:rPr>
              <w:t>10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2684E24D" w14:textId="77777777" w:rsidR="00480115" w:rsidRDefault="00E45D5E">
            <w:pPr>
              <w:spacing w:line="276" w:lineRule="auto"/>
              <w:jc w:val="center"/>
              <w:rPr>
                <w:sz w:val="22"/>
                <w:szCs w:val="22"/>
              </w:rPr>
            </w:pPr>
            <w:r>
              <w:rPr>
                <w:sz w:val="22"/>
                <w:szCs w:val="22"/>
              </w:rPr>
              <w:t>10</w:t>
            </w:r>
          </w:p>
        </w:tc>
        <w:tc>
          <w:tcPr>
            <w:tcW w:w="1383" w:type="dxa"/>
            <w:tcBorders>
              <w:top w:val="single" w:sz="12" w:space="0" w:color="000000"/>
              <w:left w:val="single" w:sz="12" w:space="0" w:color="000000"/>
              <w:bottom w:val="single" w:sz="12" w:space="0" w:color="000000"/>
              <w:right w:val="single" w:sz="12" w:space="0" w:color="000000"/>
            </w:tcBorders>
            <w:vAlign w:val="center"/>
          </w:tcPr>
          <w:p w14:paraId="52EA6250" w14:textId="77777777" w:rsidR="00480115" w:rsidRDefault="00E45D5E">
            <w:pPr>
              <w:spacing w:line="276" w:lineRule="auto"/>
              <w:jc w:val="center"/>
              <w:rPr>
                <w:sz w:val="22"/>
                <w:szCs w:val="22"/>
              </w:rPr>
            </w:pPr>
            <w:r>
              <w:rPr>
                <w:sz w:val="22"/>
                <w:szCs w:val="22"/>
              </w:rPr>
              <w:t>10</w:t>
            </w:r>
          </w:p>
        </w:tc>
        <w:tc>
          <w:tcPr>
            <w:tcW w:w="1011"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14:paraId="04CA75B3" w14:textId="77777777" w:rsidR="00480115" w:rsidRDefault="00480115">
            <w:pPr>
              <w:spacing w:line="276" w:lineRule="auto"/>
              <w:rPr>
                <w:sz w:val="22"/>
                <w:szCs w:val="22"/>
              </w:rPr>
            </w:pPr>
          </w:p>
        </w:tc>
      </w:tr>
    </w:tbl>
    <w:p w14:paraId="5F15363F" w14:textId="77777777" w:rsidR="00480115" w:rsidRDefault="00480115">
      <w:pPr>
        <w:spacing w:line="276" w:lineRule="auto"/>
        <w:jc w:val="both"/>
        <w:rPr>
          <w:sz w:val="26"/>
          <w:szCs w:val="26"/>
        </w:rPr>
      </w:pPr>
    </w:p>
    <w:p w14:paraId="4BCEF517" w14:textId="77777777" w:rsidR="00480115" w:rsidRDefault="00E45D5E">
      <w:pPr>
        <w:shd w:val="clear" w:color="auto" w:fill="FFFFFF"/>
        <w:tabs>
          <w:tab w:val="left" w:pos="426"/>
        </w:tabs>
        <w:spacing w:line="276" w:lineRule="auto"/>
        <w:ind w:firstLine="709"/>
        <w:jc w:val="both"/>
        <w:rPr>
          <w:sz w:val="26"/>
          <w:szCs w:val="26"/>
        </w:rPr>
      </w:pPr>
      <w:r>
        <w:rPr>
          <w:sz w:val="26"/>
          <w:szCs w:val="26"/>
        </w:rPr>
        <w:t>Отже, надана інформація та участь у співбесіді продемонстрували належний рівень соціальної компетентності кандидата.</w:t>
      </w:r>
    </w:p>
    <w:p w14:paraId="5D9D43E7" w14:textId="77777777" w:rsidR="00480115" w:rsidRDefault="00E45D5E">
      <w:pPr>
        <w:shd w:val="clear" w:color="auto" w:fill="FFFFFF"/>
        <w:tabs>
          <w:tab w:val="left" w:pos="426"/>
        </w:tabs>
        <w:spacing w:line="276" w:lineRule="auto"/>
        <w:ind w:firstLine="709"/>
        <w:jc w:val="both"/>
        <w:rPr>
          <w:sz w:val="26"/>
          <w:szCs w:val="26"/>
        </w:rPr>
      </w:pPr>
      <w:r>
        <w:rPr>
          <w:sz w:val="26"/>
          <w:szCs w:val="26"/>
        </w:rPr>
        <w:t>За результатами дослідження досьє, письмових пояснень та співбесіди з кандидатом, а також з урахуванням індивідуальних оцінок членів Комісії у складі колегії за відповідними показниками сумарний бал, отриманий за цим критерієм, становить 40,34 бала із 50 можливих, що вище 75% (37,5 бала) максимально можливого бала, тому Комісія виснує, що кандидат відповідає критерію соціальної компетентності.</w:t>
      </w:r>
    </w:p>
    <w:p w14:paraId="7542D8DF" w14:textId="77777777" w:rsidR="00480115" w:rsidRDefault="00480115">
      <w:pPr>
        <w:spacing w:line="276" w:lineRule="auto"/>
        <w:ind w:firstLine="709"/>
        <w:jc w:val="both"/>
        <w:rPr>
          <w:b/>
          <w:sz w:val="26"/>
          <w:szCs w:val="26"/>
        </w:rPr>
      </w:pPr>
    </w:p>
    <w:p w14:paraId="2086C8B1" w14:textId="77777777" w:rsidR="00480115" w:rsidRDefault="00E45D5E">
      <w:pPr>
        <w:spacing w:line="276" w:lineRule="auto"/>
        <w:ind w:firstLine="709"/>
        <w:jc w:val="both"/>
        <w:rPr>
          <w:b/>
          <w:sz w:val="26"/>
          <w:szCs w:val="26"/>
        </w:rPr>
      </w:pPr>
      <w:r>
        <w:rPr>
          <w:b/>
          <w:sz w:val="26"/>
          <w:szCs w:val="26"/>
        </w:rPr>
        <w:lastRenderedPageBreak/>
        <w:t>Загальні принципи, застосовані Комісією при встановленні відповідності кандидата критеріям доброчесності та професійної етики.</w:t>
      </w:r>
    </w:p>
    <w:p w14:paraId="6DCDF482" w14:textId="77777777" w:rsidR="00480115" w:rsidRDefault="00480115">
      <w:pPr>
        <w:spacing w:line="276" w:lineRule="auto"/>
        <w:ind w:firstLine="709"/>
        <w:jc w:val="both"/>
        <w:rPr>
          <w:b/>
          <w:sz w:val="26"/>
          <w:szCs w:val="26"/>
        </w:rPr>
      </w:pPr>
    </w:p>
    <w:p w14:paraId="112A00A3" w14:textId="77777777" w:rsidR="00480115" w:rsidRDefault="00E45D5E">
      <w:pPr>
        <w:shd w:val="clear" w:color="auto" w:fill="FFFFFF"/>
        <w:tabs>
          <w:tab w:val="left" w:pos="426"/>
        </w:tabs>
        <w:spacing w:line="276" w:lineRule="auto"/>
        <w:ind w:firstLine="709"/>
        <w:jc w:val="both"/>
        <w:rPr>
          <w:sz w:val="26"/>
          <w:szCs w:val="26"/>
        </w:rPr>
      </w:pPr>
      <w:r>
        <w:rPr>
          <w:sz w:val="26"/>
          <w:szCs w:val="26"/>
        </w:rPr>
        <w:t>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Цей комплекс також включає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14:paraId="136725CA" w14:textId="77777777" w:rsidR="00480115" w:rsidRDefault="00E45D5E">
      <w:pPr>
        <w:shd w:val="clear" w:color="auto" w:fill="FFFFFF"/>
        <w:tabs>
          <w:tab w:val="left" w:pos="426"/>
        </w:tabs>
        <w:spacing w:line="276" w:lineRule="auto"/>
        <w:ind w:firstLine="709"/>
        <w:jc w:val="both"/>
        <w:rPr>
          <w:sz w:val="26"/>
          <w:szCs w:val="26"/>
        </w:rPr>
      </w:pPr>
      <w:r>
        <w:rPr>
          <w:sz w:val="26"/>
          <w:szCs w:val="26"/>
        </w:rPr>
        <w:t>Таким чином, на переконання Комісії, доброчесність і професійна етика є фундаментальними критеріями, що забезпечують суспільну довіру до судової влади та гарантують дотримання принципів верховенства права.</w:t>
      </w:r>
    </w:p>
    <w:p w14:paraId="77216F2D" w14:textId="77777777" w:rsidR="00480115" w:rsidRDefault="00E45D5E">
      <w:pPr>
        <w:shd w:val="clear" w:color="auto" w:fill="FFFFFF"/>
        <w:tabs>
          <w:tab w:val="left" w:pos="426"/>
        </w:tabs>
        <w:spacing w:line="276" w:lineRule="auto"/>
        <w:ind w:firstLine="709"/>
        <w:jc w:val="both"/>
        <w:rPr>
          <w:sz w:val="26"/>
          <w:szCs w:val="26"/>
        </w:rPr>
      </w:pPr>
      <w:r>
        <w:rPr>
          <w:sz w:val="26"/>
          <w:szCs w:val="26"/>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14:paraId="58B30569" w14:textId="77777777" w:rsidR="00480115" w:rsidRDefault="00E45D5E">
      <w:pPr>
        <w:shd w:val="clear" w:color="auto" w:fill="FFFFFF"/>
        <w:tabs>
          <w:tab w:val="left" w:pos="426"/>
        </w:tabs>
        <w:spacing w:line="276" w:lineRule="auto"/>
        <w:ind w:firstLine="709"/>
        <w:jc w:val="both"/>
        <w:rPr>
          <w:sz w:val="26"/>
          <w:szCs w:val="26"/>
        </w:rPr>
      </w:pPr>
      <w:r>
        <w:rPr>
          <w:sz w:val="26"/>
          <w:szCs w:val="26"/>
        </w:rPr>
        <w:t>І хоча Комісія виснує, що кандидат на посаду судді відповідає критеріям доброчесності та професійної етики, така презумпція є спростовною, а рівень відповідності критерію доброчесності та професійної етики підлягає  з’ясуванню у процесі кваліфікаційного оцінювання.</w:t>
      </w:r>
    </w:p>
    <w:p w14:paraId="66E374EB" w14:textId="77777777" w:rsidR="00480115" w:rsidRDefault="00E45D5E">
      <w:pPr>
        <w:shd w:val="clear" w:color="auto" w:fill="FFFFFF"/>
        <w:tabs>
          <w:tab w:val="left" w:pos="426"/>
        </w:tabs>
        <w:spacing w:line="276" w:lineRule="auto"/>
        <w:ind w:firstLine="709"/>
        <w:jc w:val="both"/>
        <w:rPr>
          <w:sz w:val="26"/>
          <w:szCs w:val="26"/>
        </w:rPr>
      </w:pPr>
      <w:r>
        <w:rPr>
          <w:sz w:val="26"/>
          <w:szCs w:val="26"/>
        </w:rPr>
        <w:t>Відповідність кандидата на посаду судді критеріям доброчесності та професійної етики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14:paraId="3F094B2A" w14:textId="77777777" w:rsidR="00480115" w:rsidRDefault="00E45D5E">
      <w:pPr>
        <w:shd w:val="clear" w:color="auto" w:fill="FFFFFF"/>
        <w:tabs>
          <w:tab w:val="left" w:pos="426"/>
        </w:tabs>
        <w:spacing w:line="276" w:lineRule="auto"/>
        <w:ind w:firstLine="709"/>
        <w:jc w:val="both"/>
        <w:rPr>
          <w:sz w:val="26"/>
          <w:szCs w:val="26"/>
        </w:rPr>
      </w:pPr>
      <w:r>
        <w:rPr>
          <w:sz w:val="26"/>
          <w:szCs w:val="26"/>
        </w:rPr>
        <w:t>Наповнюють змістом ці показники, затверджені рішенням ВРП від </w:t>
      </w:r>
      <w:r>
        <w:rPr>
          <w:sz w:val="26"/>
          <w:szCs w:val="26"/>
          <w:shd w:val="clear" w:color="auto" w:fill="FFFFFF"/>
        </w:rPr>
        <w:t>17 грудня 2024 року № 3659/0/15-24</w:t>
      </w:r>
      <w:r>
        <w:rPr>
          <w:sz w:val="26"/>
          <w:szCs w:val="26"/>
        </w:rPr>
        <w:t xml:space="preserve"> Єдині показники для оцінки доброчесності та професійної етики судді (кандидата на посаду судді) (далі – Єдині показники).</w:t>
      </w:r>
    </w:p>
    <w:p w14:paraId="62956465" w14:textId="77777777" w:rsidR="00480115" w:rsidRDefault="00E45D5E">
      <w:pPr>
        <w:shd w:val="clear" w:color="auto" w:fill="FFFFFF"/>
        <w:tabs>
          <w:tab w:val="left" w:pos="426"/>
        </w:tabs>
        <w:spacing w:line="276" w:lineRule="auto"/>
        <w:ind w:firstLine="709"/>
        <w:jc w:val="both"/>
        <w:rPr>
          <w:sz w:val="26"/>
          <w:szCs w:val="26"/>
        </w:rPr>
      </w:pPr>
      <w:r>
        <w:rPr>
          <w:sz w:val="26"/>
          <w:szCs w:val="26"/>
        </w:rPr>
        <w:t xml:space="preserve">Встановлення невідповідності Єдиним показникам відбувається через призму істотності порушення правил та/або норм. </w:t>
      </w:r>
    </w:p>
    <w:p w14:paraId="1839643D" w14:textId="77777777" w:rsidR="00480115" w:rsidRDefault="00E45D5E">
      <w:pPr>
        <w:shd w:val="clear" w:color="auto" w:fill="FFFFFF"/>
        <w:tabs>
          <w:tab w:val="left" w:pos="426"/>
        </w:tabs>
        <w:spacing w:line="276" w:lineRule="auto"/>
        <w:ind w:firstLine="709"/>
        <w:jc w:val="both"/>
        <w:rPr>
          <w:sz w:val="26"/>
          <w:szCs w:val="26"/>
        </w:rPr>
      </w:pPr>
      <w:r>
        <w:rPr>
          <w:sz w:val="26"/>
          <w:szCs w:val="26"/>
        </w:rPr>
        <w:t xml:space="preserve">Згідно з пунктом 5.10. Положення суддя (кандидат на посаду судді) не відповідає критеріям доброчесності та професійної етики у разі встановлення невідповідності або наявності обґрунтованого сумніву в його відповідності хоча б одному показнику, визначеному пунктом 2.13 цього Положення. Такий суддя (кандидат на посаду судді) припиняє участь у кваліфікаційному оцінюванні та </w:t>
      </w:r>
      <w:r>
        <w:rPr>
          <w:sz w:val="26"/>
          <w:szCs w:val="26"/>
        </w:rPr>
        <w:lastRenderedPageBreak/>
        <w:t>визнається таким, що не підтвердив здатності здійснювати правосуддя у відповідному суді.</w:t>
      </w:r>
    </w:p>
    <w:p w14:paraId="6CC74110" w14:textId="77777777" w:rsidR="00480115" w:rsidRDefault="00E45D5E">
      <w:pPr>
        <w:shd w:val="clear" w:color="auto" w:fill="FFFFFF"/>
        <w:tabs>
          <w:tab w:val="left" w:pos="426"/>
        </w:tabs>
        <w:spacing w:line="276" w:lineRule="auto"/>
        <w:ind w:firstLine="709"/>
        <w:jc w:val="both"/>
        <w:rPr>
          <w:sz w:val="26"/>
          <w:szCs w:val="26"/>
        </w:rPr>
      </w:pPr>
      <w:r>
        <w:rPr>
          <w:sz w:val="26"/>
          <w:szCs w:val="26"/>
        </w:rPr>
        <w:t xml:space="preserve">Для оцінювання відповідності кандидата показникам критерію використовується стандарт обґрунтованого сумніву, за яким для прийняття рішення мають існувати відповідні та достатні фактичні дані, що є переконливими для звичайної розсудливої людини щодо невідповідності кандидата на посаду судді критеріям доброчесності та професійної етики. </w:t>
      </w:r>
    </w:p>
    <w:p w14:paraId="3317F8E7" w14:textId="77777777" w:rsidR="00480115" w:rsidRDefault="00E45D5E">
      <w:pPr>
        <w:shd w:val="clear" w:color="auto" w:fill="FFFFFF"/>
        <w:tabs>
          <w:tab w:val="left" w:pos="426"/>
        </w:tabs>
        <w:spacing w:line="276" w:lineRule="auto"/>
        <w:ind w:firstLine="709"/>
        <w:jc w:val="both"/>
      </w:pPr>
      <w:r>
        <w:rPr>
          <w:sz w:val="26"/>
          <w:szCs w:val="26"/>
        </w:rPr>
        <w:t xml:space="preserve">Обставини,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 (пункт 5.11 Положення). </w:t>
      </w:r>
    </w:p>
    <w:p w14:paraId="39B47396" w14:textId="77777777" w:rsidR="00480115" w:rsidRDefault="00E45D5E">
      <w:pPr>
        <w:shd w:val="clear" w:color="auto" w:fill="FFFFFF"/>
        <w:tabs>
          <w:tab w:val="left" w:pos="426"/>
        </w:tabs>
        <w:spacing w:line="276" w:lineRule="auto"/>
        <w:ind w:firstLine="709"/>
        <w:jc w:val="both"/>
      </w:pPr>
      <w:r>
        <w:rPr>
          <w:sz w:val="26"/>
          <w:szCs w:val="26"/>
        </w:rPr>
        <w:t>Відповідно до пункту 5.12 Положення 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w:t>
      </w:r>
    </w:p>
    <w:p w14:paraId="5AC307C6" w14:textId="77777777" w:rsidR="00480115" w:rsidRDefault="00E45D5E">
      <w:pPr>
        <w:shd w:val="clear" w:color="auto" w:fill="FFFFFF"/>
        <w:tabs>
          <w:tab w:val="left" w:pos="426"/>
        </w:tabs>
        <w:spacing w:line="276" w:lineRule="auto"/>
        <w:ind w:firstLine="709"/>
        <w:jc w:val="both"/>
      </w:pPr>
      <w:r>
        <w:rPr>
          <w:sz w:val="26"/>
          <w:szCs w:val="26"/>
        </w:rPr>
        <w:t>На переконання Комісії, такий підхід дозволяє фокусувати увагу на потенційно проблемних випадках і є прийнятним для ухвалення рішень у межах конкурсної процедури з мінімальними негативними наслідками для кандидата.</w:t>
      </w:r>
    </w:p>
    <w:p w14:paraId="070E1F4F" w14:textId="77777777" w:rsidR="00480115" w:rsidRDefault="00E45D5E">
      <w:pPr>
        <w:shd w:val="clear" w:color="auto" w:fill="FFFFFF"/>
        <w:tabs>
          <w:tab w:val="left" w:pos="426"/>
        </w:tabs>
        <w:spacing w:line="276" w:lineRule="auto"/>
        <w:ind w:firstLine="709"/>
        <w:jc w:val="both"/>
      </w:pPr>
      <w:r>
        <w:rPr>
          <w:sz w:val="26"/>
          <w:szCs w:val="26"/>
        </w:rPr>
        <w:t>Істотність порушень встановлюється Комісією в закритому обговоренні і визначається шляхом голосування. Кожне зниження балів повинно бути мотивовано в рішенні Комісії (пункт 5.13 Положення).</w:t>
      </w:r>
    </w:p>
    <w:p w14:paraId="43D3CE26" w14:textId="77777777" w:rsidR="00480115" w:rsidRDefault="00480115">
      <w:pPr>
        <w:spacing w:line="276" w:lineRule="auto"/>
        <w:ind w:firstLine="709"/>
        <w:jc w:val="both"/>
        <w:rPr>
          <w:b/>
          <w:sz w:val="26"/>
          <w:szCs w:val="26"/>
        </w:rPr>
      </w:pPr>
    </w:p>
    <w:p w14:paraId="2F986757" w14:textId="77777777" w:rsidR="00480115" w:rsidRDefault="00E45D5E">
      <w:pPr>
        <w:spacing w:line="276" w:lineRule="auto"/>
        <w:ind w:firstLine="709"/>
        <w:jc w:val="both"/>
        <w:rPr>
          <w:b/>
          <w:sz w:val="26"/>
          <w:szCs w:val="26"/>
        </w:rPr>
      </w:pPr>
      <w:r>
        <w:rPr>
          <w:b/>
          <w:sz w:val="26"/>
          <w:szCs w:val="26"/>
        </w:rPr>
        <w:t>Встановлення відповідності кандидата критеріям доброчесності та професійної етики.</w:t>
      </w:r>
    </w:p>
    <w:p w14:paraId="04C13ECA" w14:textId="77777777" w:rsidR="00480115" w:rsidRDefault="00480115">
      <w:pPr>
        <w:spacing w:line="276" w:lineRule="auto"/>
        <w:ind w:firstLine="709"/>
        <w:jc w:val="both"/>
        <w:rPr>
          <w:sz w:val="26"/>
          <w:szCs w:val="26"/>
        </w:rPr>
      </w:pPr>
    </w:p>
    <w:p w14:paraId="0492781E" w14:textId="77777777" w:rsidR="00480115" w:rsidRDefault="00E45D5E">
      <w:pPr>
        <w:spacing w:line="276" w:lineRule="auto"/>
        <w:ind w:firstLine="709"/>
        <w:contextualSpacing/>
        <w:jc w:val="both"/>
      </w:pPr>
      <w:r>
        <w:rPr>
          <w:sz w:val="26"/>
          <w:szCs w:val="26"/>
        </w:rPr>
        <w:t>До Комісії 04 червня 2026 року надійшло рішення ГРД про надання інформації, затверджене 04 червня 2026 року, у якому</w:t>
      </w:r>
      <w:r>
        <w:rPr>
          <w:sz w:val="26"/>
          <w:szCs w:val="26"/>
          <w:lang w:val="ru-RU"/>
        </w:rPr>
        <w:t xml:space="preserve"> </w:t>
      </w:r>
      <w:r>
        <w:rPr>
          <w:sz w:val="26"/>
          <w:szCs w:val="26"/>
        </w:rPr>
        <w:t>вказано таке.</w:t>
      </w:r>
    </w:p>
    <w:p w14:paraId="0216DB3D" w14:textId="663A4C5E" w:rsidR="00480115" w:rsidRDefault="00E45D5E">
      <w:pPr>
        <w:suppressAutoHyphens w:val="0"/>
        <w:spacing w:line="276" w:lineRule="auto"/>
        <w:ind w:firstLine="709"/>
        <w:contextualSpacing/>
        <w:jc w:val="both"/>
        <w:rPr>
          <w:sz w:val="26"/>
          <w:szCs w:val="26"/>
        </w:rPr>
      </w:pPr>
      <w:r>
        <w:rPr>
          <w:sz w:val="26"/>
          <w:szCs w:val="26"/>
          <w:lang w:eastAsia="en-US"/>
        </w:rPr>
        <w:t>1. Марче</w:t>
      </w:r>
      <w:r w:rsidR="00F67DF0">
        <w:rPr>
          <w:sz w:val="26"/>
          <w:szCs w:val="26"/>
          <w:lang w:eastAsia="en-US"/>
        </w:rPr>
        <w:t>нко Н.Ю. допустила розбіжності в</w:t>
      </w:r>
      <w:r>
        <w:rPr>
          <w:sz w:val="26"/>
          <w:szCs w:val="26"/>
          <w:lang w:eastAsia="en-US"/>
        </w:rPr>
        <w:t xml:space="preserve"> декларації про майно, доходи, </w:t>
      </w:r>
      <w:r w:rsidR="003C482E">
        <w:rPr>
          <w:sz w:val="26"/>
          <w:szCs w:val="26"/>
          <w:lang w:eastAsia="en-US"/>
        </w:rPr>
        <w:t xml:space="preserve">          </w:t>
      </w:r>
      <w:r>
        <w:rPr>
          <w:sz w:val="26"/>
          <w:szCs w:val="26"/>
          <w:lang w:eastAsia="en-US"/>
        </w:rPr>
        <w:t>витрати</w:t>
      </w:r>
      <w:r w:rsidR="003C482E">
        <w:rPr>
          <w:sz w:val="26"/>
          <w:szCs w:val="26"/>
          <w:lang w:eastAsia="en-US"/>
        </w:rPr>
        <w:t> </w:t>
      </w:r>
      <w:r>
        <w:rPr>
          <w:sz w:val="26"/>
          <w:szCs w:val="26"/>
          <w:lang w:eastAsia="en-US"/>
        </w:rPr>
        <w:t>і</w:t>
      </w:r>
      <w:r w:rsidR="003C482E">
        <w:rPr>
          <w:sz w:val="26"/>
          <w:szCs w:val="26"/>
          <w:lang w:eastAsia="en-US"/>
        </w:rPr>
        <w:t> </w:t>
      </w:r>
      <w:r>
        <w:rPr>
          <w:sz w:val="26"/>
          <w:szCs w:val="26"/>
          <w:lang w:eastAsia="en-US"/>
        </w:rPr>
        <w:t>зобов’язан</w:t>
      </w:r>
      <w:r w:rsidR="00F67DF0">
        <w:rPr>
          <w:sz w:val="26"/>
          <w:szCs w:val="26"/>
          <w:lang w:eastAsia="en-US"/>
        </w:rPr>
        <w:t>ня фінансового характеру (далі –</w:t>
      </w:r>
      <w:r>
        <w:rPr>
          <w:sz w:val="26"/>
          <w:szCs w:val="26"/>
          <w:lang w:eastAsia="en-US"/>
        </w:rPr>
        <w:t xml:space="preserve"> майнова декларація) за 2015 рік та декларації особи, уповноваженої на виконання функцій держави або </w:t>
      </w:r>
      <w:r w:rsidR="008D7738">
        <w:rPr>
          <w:sz w:val="26"/>
          <w:szCs w:val="26"/>
          <w:lang w:eastAsia="en-US"/>
        </w:rPr>
        <w:t xml:space="preserve">місцевого </w:t>
      </w:r>
      <w:r w:rsidR="003C482E">
        <w:rPr>
          <w:sz w:val="26"/>
          <w:szCs w:val="26"/>
          <w:lang w:eastAsia="en-US"/>
        </w:rPr>
        <w:t xml:space="preserve">       </w:t>
      </w:r>
      <w:r w:rsidR="008D7738">
        <w:rPr>
          <w:sz w:val="26"/>
          <w:szCs w:val="26"/>
          <w:lang w:eastAsia="en-US"/>
        </w:rPr>
        <w:t>самоврядування</w:t>
      </w:r>
      <w:r w:rsidR="003C482E">
        <w:rPr>
          <w:sz w:val="26"/>
          <w:szCs w:val="26"/>
          <w:lang w:eastAsia="en-US"/>
        </w:rPr>
        <w:t> </w:t>
      </w:r>
      <w:r w:rsidR="008D7738">
        <w:rPr>
          <w:sz w:val="26"/>
          <w:szCs w:val="26"/>
          <w:lang w:eastAsia="en-US"/>
        </w:rPr>
        <w:t>(далі –</w:t>
      </w:r>
      <w:r>
        <w:rPr>
          <w:sz w:val="26"/>
          <w:szCs w:val="26"/>
          <w:lang w:eastAsia="en-US"/>
        </w:rPr>
        <w:t xml:space="preserve"> Декларація) за 2015 рік.</w:t>
      </w:r>
    </w:p>
    <w:p w14:paraId="41E55973" w14:textId="152B91E9" w:rsidR="00480115" w:rsidRDefault="00E45D5E">
      <w:pPr>
        <w:suppressAutoHyphens w:val="0"/>
        <w:spacing w:line="276" w:lineRule="auto"/>
        <w:ind w:firstLine="709"/>
        <w:contextualSpacing/>
        <w:jc w:val="both"/>
        <w:rPr>
          <w:sz w:val="26"/>
          <w:szCs w:val="26"/>
          <w:lang w:eastAsia="en-US"/>
        </w:rPr>
      </w:pPr>
      <w:r>
        <w:rPr>
          <w:sz w:val="26"/>
          <w:szCs w:val="26"/>
          <w:lang w:eastAsia="en-US"/>
        </w:rPr>
        <w:t>У майновій декларації за 2015 рік Марченко Н.Ю. задекларувала сукупний дохід у розмірі 197 1</w:t>
      </w:r>
      <w:r w:rsidR="00F67DF0">
        <w:rPr>
          <w:sz w:val="26"/>
          <w:szCs w:val="26"/>
          <w:lang w:eastAsia="en-US"/>
        </w:rPr>
        <w:t>78 грн, користування квартирою в</w:t>
      </w:r>
      <w:r>
        <w:rPr>
          <w:sz w:val="26"/>
          <w:szCs w:val="26"/>
          <w:lang w:eastAsia="en-US"/>
        </w:rPr>
        <w:t xml:space="preserve"> місті Дніпро площею 30,3 кв.м, а також витрати на погашення фінансових зобов’язань у розмірі 49 809 грн. Водночас в Декларації за 2015 рік зазначено сукупний дохід у розмірі 222 015 грн, користування квартирою площею 31,2 кв.м та відсутні відомості про витрати на погашення </w:t>
      </w:r>
      <w:r w:rsidR="003C482E">
        <w:rPr>
          <w:sz w:val="26"/>
          <w:szCs w:val="26"/>
          <w:lang w:eastAsia="en-US"/>
        </w:rPr>
        <w:t xml:space="preserve">                 </w:t>
      </w:r>
      <w:r>
        <w:rPr>
          <w:sz w:val="26"/>
          <w:szCs w:val="26"/>
          <w:lang w:eastAsia="en-US"/>
        </w:rPr>
        <w:t>фінансових</w:t>
      </w:r>
      <w:r w:rsidR="003C482E">
        <w:rPr>
          <w:sz w:val="26"/>
          <w:szCs w:val="26"/>
          <w:lang w:eastAsia="en-US"/>
        </w:rPr>
        <w:t> </w:t>
      </w:r>
      <w:r>
        <w:rPr>
          <w:sz w:val="26"/>
          <w:szCs w:val="26"/>
          <w:lang w:eastAsia="en-US"/>
        </w:rPr>
        <w:t>зобов’язань.</w:t>
      </w:r>
    </w:p>
    <w:p w14:paraId="16A563A7" w14:textId="21EFCD05" w:rsidR="00480115" w:rsidRPr="000E7567" w:rsidRDefault="00E45D5E">
      <w:pPr>
        <w:suppressAutoHyphens w:val="0"/>
        <w:spacing w:line="276" w:lineRule="auto"/>
        <w:ind w:firstLine="709"/>
        <w:contextualSpacing/>
        <w:jc w:val="both"/>
        <w:rPr>
          <w:sz w:val="26"/>
          <w:szCs w:val="26"/>
        </w:rPr>
      </w:pPr>
      <w:r>
        <w:rPr>
          <w:sz w:val="26"/>
          <w:szCs w:val="26"/>
        </w:rPr>
        <w:t>ГРД зазначила, що проаналізувала пояснення</w:t>
      </w:r>
      <w:r w:rsidR="008D7738">
        <w:rPr>
          <w:sz w:val="26"/>
          <w:szCs w:val="26"/>
        </w:rPr>
        <w:t>,</w:t>
      </w:r>
      <w:r>
        <w:rPr>
          <w:sz w:val="26"/>
          <w:szCs w:val="26"/>
        </w:rPr>
        <w:t xml:space="preserve"> надані кандидатом в межах права на відповідь</w:t>
      </w:r>
      <w:r w:rsidR="008D7738">
        <w:rPr>
          <w:sz w:val="26"/>
          <w:szCs w:val="26"/>
        </w:rPr>
        <w:t>,</w:t>
      </w:r>
      <w:r>
        <w:rPr>
          <w:sz w:val="26"/>
          <w:szCs w:val="26"/>
        </w:rPr>
        <w:t xml:space="preserve"> та дійшла висновку, що виявлені розбіжності стосуються уточнення площі орендованого житла на 0,9 кв.м, різного порядку відображення кредитних </w:t>
      </w:r>
      <w:r w:rsidR="003C482E">
        <w:rPr>
          <w:sz w:val="26"/>
          <w:szCs w:val="26"/>
        </w:rPr>
        <w:t xml:space="preserve">         </w:t>
      </w:r>
      <w:r>
        <w:rPr>
          <w:sz w:val="26"/>
          <w:szCs w:val="26"/>
        </w:rPr>
        <w:t>коштів</w:t>
      </w:r>
      <w:r w:rsidR="003C482E">
        <w:rPr>
          <w:sz w:val="26"/>
          <w:szCs w:val="26"/>
        </w:rPr>
        <w:t> </w:t>
      </w:r>
      <w:r>
        <w:rPr>
          <w:sz w:val="26"/>
          <w:szCs w:val="26"/>
        </w:rPr>
        <w:t>і</w:t>
      </w:r>
      <w:r w:rsidR="003C482E">
        <w:rPr>
          <w:sz w:val="26"/>
          <w:szCs w:val="26"/>
        </w:rPr>
        <w:t> </w:t>
      </w:r>
      <w:r>
        <w:rPr>
          <w:sz w:val="26"/>
          <w:szCs w:val="26"/>
        </w:rPr>
        <w:t xml:space="preserve">бонусів у структурі доходів, а також особливостей декларування фінансових зобов’язань у майновій декларації та електронній формах декларацій. </w:t>
      </w:r>
      <w:r w:rsidRPr="000E7567">
        <w:rPr>
          <w:bCs/>
          <w:sz w:val="26"/>
          <w:szCs w:val="26"/>
        </w:rPr>
        <w:t xml:space="preserve">Вказані </w:t>
      </w:r>
      <w:r w:rsidR="00722E54">
        <w:rPr>
          <w:bCs/>
          <w:sz w:val="26"/>
          <w:szCs w:val="26"/>
        </w:rPr>
        <w:br/>
      </w:r>
      <w:r w:rsidRPr="000E7567">
        <w:rPr>
          <w:bCs/>
          <w:sz w:val="26"/>
          <w:szCs w:val="26"/>
        </w:rPr>
        <w:lastRenderedPageBreak/>
        <w:t xml:space="preserve">відмінності мають технічний та методологічний характер, не свідчать про </w:t>
      </w:r>
      <w:r w:rsidR="00CD2209">
        <w:rPr>
          <w:bCs/>
          <w:sz w:val="26"/>
          <w:szCs w:val="26"/>
        </w:rPr>
        <w:t xml:space="preserve">                    </w:t>
      </w:r>
      <w:r w:rsidRPr="000E7567">
        <w:rPr>
          <w:bCs/>
          <w:sz w:val="26"/>
          <w:szCs w:val="26"/>
        </w:rPr>
        <w:t>приховування</w:t>
      </w:r>
      <w:r w:rsidR="00CD2209">
        <w:rPr>
          <w:bCs/>
          <w:sz w:val="26"/>
          <w:szCs w:val="26"/>
        </w:rPr>
        <w:t> </w:t>
      </w:r>
      <w:r w:rsidRPr="000E7567">
        <w:rPr>
          <w:bCs/>
          <w:sz w:val="26"/>
          <w:szCs w:val="26"/>
        </w:rPr>
        <w:t>майна, доходів чи витрат та не впливають істотним чином на оцінку майнового стану кандидата.</w:t>
      </w:r>
      <w:r w:rsidRPr="000E7567">
        <w:rPr>
          <w:sz w:val="26"/>
          <w:szCs w:val="26"/>
        </w:rPr>
        <w:t xml:space="preserve"> </w:t>
      </w:r>
    </w:p>
    <w:p w14:paraId="61ECC419" w14:textId="362552C4" w:rsidR="00480115" w:rsidRDefault="00E45D5E">
      <w:pPr>
        <w:suppressAutoHyphens w:val="0"/>
        <w:spacing w:line="276" w:lineRule="auto"/>
        <w:ind w:firstLine="709"/>
        <w:contextualSpacing/>
        <w:jc w:val="both"/>
        <w:rPr>
          <w:sz w:val="26"/>
          <w:szCs w:val="26"/>
        </w:rPr>
      </w:pPr>
      <w:r>
        <w:rPr>
          <w:sz w:val="26"/>
          <w:szCs w:val="26"/>
        </w:rPr>
        <w:t xml:space="preserve">За таких обставин ГРД вважає, що встановлені розбіжності є несуттєвими та не можуть розглядатися як підстава для висновку про невідповідність кандидата </w:t>
      </w:r>
      <w:r w:rsidR="00CD2209">
        <w:rPr>
          <w:sz w:val="26"/>
          <w:szCs w:val="26"/>
        </w:rPr>
        <w:t xml:space="preserve">            </w:t>
      </w:r>
      <w:r>
        <w:rPr>
          <w:sz w:val="26"/>
          <w:szCs w:val="26"/>
        </w:rPr>
        <w:t>критеріям</w:t>
      </w:r>
      <w:r w:rsidR="00CD2209">
        <w:rPr>
          <w:sz w:val="26"/>
          <w:szCs w:val="26"/>
        </w:rPr>
        <w:t> </w:t>
      </w:r>
      <w:r>
        <w:rPr>
          <w:sz w:val="26"/>
          <w:szCs w:val="26"/>
        </w:rPr>
        <w:t>доброчесності або професійної етики.</w:t>
      </w:r>
    </w:p>
    <w:p w14:paraId="532BE965" w14:textId="77777777" w:rsidR="00480115" w:rsidRDefault="00E45D5E">
      <w:pPr>
        <w:suppressAutoHyphens w:val="0"/>
        <w:spacing w:line="276" w:lineRule="auto"/>
        <w:ind w:firstLine="709"/>
        <w:jc w:val="both"/>
        <w:rPr>
          <w:sz w:val="26"/>
          <w:szCs w:val="26"/>
          <w:lang w:eastAsia="en-US"/>
        </w:rPr>
      </w:pPr>
      <w:r>
        <w:rPr>
          <w:sz w:val="26"/>
          <w:szCs w:val="26"/>
          <w:lang w:eastAsia="en-US"/>
        </w:rPr>
        <w:t xml:space="preserve">Марченко Н.Ю. надала письмові та усні пояснення під час співбесіди. </w:t>
      </w:r>
    </w:p>
    <w:p w14:paraId="09EBA944" w14:textId="457209E1" w:rsidR="00480115" w:rsidRDefault="00E45D5E">
      <w:pPr>
        <w:suppressAutoHyphens w:val="0"/>
        <w:spacing w:line="276" w:lineRule="auto"/>
        <w:ind w:firstLine="709"/>
        <w:jc w:val="both"/>
        <w:rPr>
          <w:sz w:val="26"/>
          <w:szCs w:val="26"/>
          <w:lang w:eastAsia="en-US"/>
        </w:rPr>
      </w:pPr>
      <w:r>
        <w:rPr>
          <w:sz w:val="26"/>
          <w:szCs w:val="26"/>
          <w:lang w:eastAsia="en-US"/>
        </w:rPr>
        <w:t xml:space="preserve">Кандидат зазначила, що подані нею майнова декларація за 2015 рік та </w:t>
      </w:r>
      <w:r w:rsidR="00CD2209">
        <w:rPr>
          <w:sz w:val="26"/>
          <w:szCs w:val="26"/>
          <w:lang w:eastAsia="en-US"/>
        </w:rPr>
        <w:t xml:space="preserve">                  </w:t>
      </w:r>
      <w:r>
        <w:rPr>
          <w:sz w:val="26"/>
          <w:szCs w:val="26"/>
          <w:lang w:eastAsia="en-US"/>
        </w:rPr>
        <w:t>Декларація</w:t>
      </w:r>
      <w:r w:rsidR="00CD2209">
        <w:rPr>
          <w:sz w:val="26"/>
          <w:szCs w:val="26"/>
          <w:lang w:eastAsia="en-US"/>
        </w:rPr>
        <w:t> </w:t>
      </w:r>
      <w:r>
        <w:rPr>
          <w:sz w:val="26"/>
          <w:szCs w:val="26"/>
          <w:lang w:eastAsia="en-US"/>
        </w:rPr>
        <w:t>за</w:t>
      </w:r>
      <w:r w:rsidR="00CD2209">
        <w:rPr>
          <w:sz w:val="26"/>
          <w:szCs w:val="26"/>
          <w:lang w:eastAsia="en-US"/>
        </w:rPr>
        <w:t> </w:t>
      </w:r>
      <w:r>
        <w:rPr>
          <w:sz w:val="26"/>
          <w:szCs w:val="26"/>
          <w:lang w:eastAsia="en-US"/>
        </w:rPr>
        <w:t>2015 рік</w:t>
      </w:r>
      <w:r w:rsidR="00896148">
        <w:rPr>
          <w:sz w:val="26"/>
          <w:szCs w:val="26"/>
          <w:lang w:eastAsia="en-US"/>
        </w:rPr>
        <w:t>,</w:t>
      </w:r>
      <w:r>
        <w:rPr>
          <w:sz w:val="26"/>
          <w:szCs w:val="26"/>
          <w:lang w:eastAsia="en-US"/>
        </w:rPr>
        <w:t xml:space="preserve"> дійсно</w:t>
      </w:r>
      <w:r w:rsidR="00896148">
        <w:rPr>
          <w:sz w:val="26"/>
          <w:szCs w:val="26"/>
          <w:lang w:eastAsia="en-US"/>
        </w:rPr>
        <w:t>,</w:t>
      </w:r>
      <w:r>
        <w:rPr>
          <w:sz w:val="26"/>
          <w:szCs w:val="26"/>
          <w:lang w:eastAsia="en-US"/>
        </w:rPr>
        <w:t xml:space="preserve"> мають певні відмінності, що пов’язано зі </w:t>
      </w:r>
      <w:r>
        <w:rPr>
          <w:sz w:val="26"/>
          <w:szCs w:val="26"/>
        </w:rPr>
        <w:t xml:space="preserve">змінами </w:t>
      </w:r>
      <w:r w:rsidR="00CD2209">
        <w:rPr>
          <w:sz w:val="26"/>
          <w:szCs w:val="26"/>
        </w:rPr>
        <w:t xml:space="preserve">         </w:t>
      </w:r>
      <w:r>
        <w:rPr>
          <w:sz w:val="26"/>
          <w:szCs w:val="26"/>
        </w:rPr>
        <w:t>нормативного</w:t>
      </w:r>
      <w:r w:rsidR="00CD2209">
        <w:rPr>
          <w:sz w:val="26"/>
          <w:szCs w:val="26"/>
        </w:rPr>
        <w:t> </w:t>
      </w:r>
      <w:r>
        <w:rPr>
          <w:sz w:val="26"/>
          <w:szCs w:val="26"/>
        </w:rPr>
        <w:t>регулювання та підходів до декларування.</w:t>
      </w:r>
      <w:r w:rsidR="00B151FA">
        <w:rPr>
          <w:sz w:val="26"/>
          <w:szCs w:val="26"/>
        </w:rPr>
        <w:t xml:space="preserve"> </w:t>
      </w:r>
      <w:r>
        <w:rPr>
          <w:sz w:val="26"/>
          <w:szCs w:val="26"/>
          <w:lang w:eastAsia="en-US"/>
        </w:rPr>
        <w:t>Так, у майновій декларації за 2015 рік задекл</w:t>
      </w:r>
      <w:r w:rsidR="00B151FA">
        <w:rPr>
          <w:sz w:val="26"/>
          <w:szCs w:val="26"/>
          <w:lang w:eastAsia="en-US"/>
        </w:rPr>
        <w:t>аровано користування квартирою в</w:t>
      </w:r>
      <w:r>
        <w:rPr>
          <w:sz w:val="26"/>
          <w:szCs w:val="26"/>
          <w:lang w:eastAsia="en-US"/>
        </w:rPr>
        <w:t xml:space="preserve"> місті Дніпро загальною </w:t>
      </w:r>
      <w:r w:rsidR="00CD2209">
        <w:rPr>
          <w:sz w:val="26"/>
          <w:szCs w:val="26"/>
          <w:lang w:eastAsia="en-US"/>
        </w:rPr>
        <w:t xml:space="preserve">                    </w:t>
      </w:r>
      <w:r>
        <w:rPr>
          <w:sz w:val="26"/>
          <w:szCs w:val="26"/>
          <w:lang w:eastAsia="en-US"/>
        </w:rPr>
        <w:t>площею</w:t>
      </w:r>
      <w:r w:rsidR="00CD2209">
        <w:rPr>
          <w:sz w:val="26"/>
          <w:szCs w:val="26"/>
          <w:lang w:eastAsia="en-US"/>
        </w:rPr>
        <w:t> </w:t>
      </w:r>
      <w:r>
        <w:rPr>
          <w:sz w:val="26"/>
          <w:szCs w:val="26"/>
          <w:lang w:eastAsia="en-US"/>
        </w:rPr>
        <w:t>30,3</w:t>
      </w:r>
      <w:r w:rsidR="00CD2209">
        <w:rPr>
          <w:sz w:val="26"/>
          <w:szCs w:val="26"/>
          <w:lang w:eastAsia="en-US"/>
        </w:rPr>
        <w:t> </w:t>
      </w:r>
      <w:r>
        <w:rPr>
          <w:sz w:val="26"/>
          <w:szCs w:val="26"/>
          <w:lang w:eastAsia="en-US"/>
        </w:rPr>
        <w:t xml:space="preserve">кв.м, сукупний дохід у розмірі 197 178 грн та витрати на погашення </w:t>
      </w:r>
      <w:r w:rsidR="00CD2209">
        <w:rPr>
          <w:sz w:val="26"/>
          <w:szCs w:val="26"/>
          <w:lang w:eastAsia="en-US"/>
        </w:rPr>
        <w:t xml:space="preserve">        </w:t>
      </w:r>
      <w:r>
        <w:rPr>
          <w:sz w:val="26"/>
          <w:szCs w:val="26"/>
          <w:lang w:eastAsia="en-US"/>
        </w:rPr>
        <w:t>фінансових</w:t>
      </w:r>
      <w:r w:rsidR="00CD2209">
        <w:rPr>
          <w:sz w:val="26"/>
          <w:szCs w:val="26"/>
          <w:lang w:eastAsia="en-US"/>
        </w:rPr>
        <w:t> </w:t>
      </w:r>
      <w:r>
        <w:rPr>
          <w:sz w:val="26"/>
          <w:szCs w:val="26"/>
          <w:lang w:eastAsia="en-US"/>
        </w:rPr>
        <w:t>зобов’язань у розмірі 49 809 грн.</w:t>
      </w:r>
      <w:r w:rsidR="006027E6">
        <w:rPr>
          <w:sz w:val="26"/>
          <w:szCs w:val="26"/>
          <w:lang w:eastAsia="en-US"/>
        </w:rPr>
        <w:t xml:space="preserve"> </w:t>
      </w:r>
      <w:r>
        <w:rPr>
          <w:sz w:val="26"/>
          <w:szCs w:val="26"/>
          <w:lang w:eastAsia="en-US"/>
        </w:rPr>
        <w:t xml:space="preserve">У Декларації за 2015 рік зазначено про користування квартирою площею 31,2 кв.м та сукупний дохід у розмірі 222 015 грн. </w:t>
      </w:r>
      <w:r w:rsidR="001D6D9F">
        <w:rPr>
          <w:sz w:val="26"/>
          <w:szCs w:val="26"/>
          <w:lang w:eastAsia="en-US"/>
        </w:rPr>
        <w:t>Однак</w:t>
      </w:r>
      <w:r>
        <w:rPr>
          <w:sz w:val="26"/>
          <w:szCs w:val="26"/>
          <w:lang w:eastAsia="en-US"/>
        </w:rPr>
        <w:t xml:space="preserve"> не зазначено витрати на погашення фінансових зобов’язань. Водночас </w:t>
      </w:r>
      <w:r w:rsidR="00CD2209">
        <w:rPr>
          <w:sz w:val="26"/>
          <w:szCs w:val="26"/>
          <w:lang w:eastAsia="en-US"/>
        </w:rPr>
        <w:t xml:space="preserve">                 </w:t>
      </w:r>
      <w:r>
        <w:rPr>
          <w:sz w:val="26"/>
          <w:szCs w:val="26"/>
          <w:lang w:eastAsia="en-US"/>
        </w:rPr>
        <w:t>зазначено загальний розмір фінансових зобов’язань, які були дійсними на останній день звітного періоду.</w:t>
      </w:r>
    </w:p>
    <w:p w14:paraId="30C93F97" w14:textId="0F29264B" w:rsidR="00480115" w:rsidRDefault="00E45D5E">
      <w:pPr>
        <w:suppressAutoHyphens w:val="0"/>
        <w:spacing w:line="276" w:lineRule="auto"/>
        <w:ind w:firstLine="709"/>
        <w:jc w:val="both"/>
        <w:rPr>
          <w:sz w:val="26"/>
          <w:szCs w:val="26"/>
          <w:lang w:eastAsia="en-US"/>
        </w:rPr>
      </w:pPr>
      <w:r>
        <w:rPr>
          <w:sz w:val="26"/>
          <w:szCs w:val="26"/>
          <w:lang w:eastAsia="en-US"/>
        </w:rPr>
        <w:t xml:space="preserve">Марченко Н.Ю. пояснила, що різниця у площі нерухомого майна, яке </w:t>
      </w:r>
      <w:r w:rsidR="00CD2209">
        <w:rPr>
          <w:sz w:val="26"/>
          <w:szCs w:val="26"/>
          <w:lang w:eastAsia="en-US"/>
        </w:rPr>
        <w:t xml:space="preserve">                   </w:t>
      </w:r>
      <w:r w:rsidR="001D6D9F">
        <w:rPr>
          <w:sz w:val="26"/>
          <w:szCs w:val="26"/>
          <w:lang w:eastAsia="en-US"/>
        </w:rPr>
        <w:t>перебувало</w:t>
      </w:r>
      <w:r>
        <w:rPr>
          <w:sz w:val="26"/>
          <w:szCs w:val="26"/>
          <w:lang w:eastAsia="en-US"/>
        </w:rPr>
        <w:t xml:space="preserve"> в її користуванні, пов’язана з тим, що укладений нею в 2015 році договір оренди не містив відомостей про площу житла. Тому відомості про площу орендованої кварт</w:t>
      </w:r>
      <w:r w:rsidR="00A4789B">
        <w:rPr>
          <w:sz w:val="26"/>
          <w:szCs w:val="26"/>
          <w:lang w:eastAsia="en-US"/>
        </w:rPr>
        <w:t>ири були зазначені нею в</w:t>
      </w:r>
      <w:r>
        <w:rPr>
          <w:sz w:val="26"/>
          <w:szCs w:val="26"/>
          <w:lang w:eastAsia="en-US"/>
        </w:rPr>
        <w:t xml:space="preserve"> майновій декларації зі слів власни</w:t>
      </w:r>
      <w:r w:rsidR="0000782E">
        <w:rPr>
          <w:sz w:val="26"/>
          <w:szCs w:val="26"/>
          <w:lang w:eastAsia="en-US"/>
        </w:rPr>
        <w:t>ка</w:t>
      </w:r>
      <w:r>
        <w:rPr>
          <w:sz w:val="26"/>
          <w:szCs w:val="26"/>
          <w:lang w:eastAsia="en-US"/>
        </w:rPr>
        <w:t xml:space="preserve">. </w:t>
      </w:r>
      <w:r w:rsidR="0000782E">
        <w:rPr>
          <w:sz w:val="26"/>
          <w:szCs w:val="26"/>
          <w:lang w:eastAsia="en-US"/>
        </w:rPr>
        <w:t>Надалі</w:t>
      </w:r>
      <w:r>
        <w:rPr>
          <w:sz w:val="26"/>
          <w:szCs w:val="26"/>
          <w:lang w:eastAsia="en-US"/>
        </w:rPr>
        <w:t xml:space="preserve"> </w:t>
      </w:r>
      <w:r w:rsidR="0000782E">
        <w:rPr>
          <w:sz w:val="26"/>
          <w:szCs w:val="26"/>
          <w:lang w:eastAsia="en-US"/>
        </w:rPr>
        <w:t>власник квартири</w:t>
      </w:r>
      <w:r>
        <w:rPr>
          <w:sz w:val="26"/>
          <w:szCs w:val="26"/>
          <w:lang w:eastAsia="en-US"/>
        </w:rPr>
        <w:t xml:space="preserve"> уточнила, що згідно зі свідоцтвом про право власності загальна площа </w:t>
      </w:r>
      <w:r w:rsidR="00CD2209">
        <w:rPr>
          <w:sz w:val="26"/>
          <w:szCs w:val="26"/>
          <w:lang w:eastAsia="en-US"/>
        </w:rPr>
        <w:t xml:space="preserve">        </w:t>
      </w:r>
      <w:r>
        <w:rPr>
          <w:sz w:val="26"/>
          <w:szCs w:val="26"/>
          <w:lang w:eastAsia="en-US"/>
        </w:rPr>
        <w:t xml:space="preserve">квартири становить не 30,3 кв.м, а 31,2 кв.м. Тому в Декларації було зазначено </w:t>
      </w:r>
      <w:r w:rsidR="00CD2209">
        <w:rPr>
          <w:sz w:val="26"/>
          <w:szCs w:val="26"/>
          <w:lang w:eastAsia="en-US"/>
        </w:rPr>
        <w:t xml:space="preserve">          </w:t>
      </w:r>
      <w:r>
        <w:rPr>
          <w:sz w:val="26"/>
          <w:szCs w:val="26"/>
          <w:lang w:eastAsia="en-US"/>
        </w:rPr>
        <w:t xml:space="preserve">уточнену площу </w:t>
      </w:r>
      <w:r w:rsidR="00507844">
        <w:rPr>
          <w:sz w:val="26"/>
          <w:szCs w:val="26"/>
          <w:lang w:eastAsia="en-US"/>
        </w:rPr>
        <w:t>квартири</w:t>
      </w:r>
      <w:r>
        <w:rPr>
          <w:sz w:val="26"/>
          <w:szCs w:val="26"/>
          <w:lang w:eastAsia="en-US"/>
        </w:rPr>
        <w:t>.</w:t>
      </w:r>
    </w:p>
    <w:p w14:paraId="1B0305FD" w14:textId="5B4D4FC1" w:rsidR="00480115" w:rsidRDefault="00E45D5E" w:rsidP="00AC3730">
      <w:pPr>
        <w:suppressAutoHyphens w:val="0"/>
        <w:spacing w:line="276" w:lineRule="auto"/>
        <w:ind w:firstLine="709"/>
        <w:jc w:val="both"/>
        <w:rPr>
          <w:sz w:val="26"/>
          <w:szCs w:val="26"/>
          <w:lang w:eastAsia="en-US"/>
        </w:rPr>
      </w:pPr>
      <w:r>
        <w:rPr>
          <w:sz w:val="26"/>
          <w:szCs w:val="26"/>
          <w:lang w:eastAsia="en-US"/>
        </w:rPr>
        <w:t>Стосовно задекларованого д</w:t>
      </w:r>
      <w:r w:rsidR="00AC3730">
        <w:rPr>
          <w:sz w:val="26"/>
          <w:szCs w:val="26"/>
          <w:lang w:eastAsia="en-US"/>
        </w:rPr>
        <w:t>оходу та фінансових зобов’язань</w:t>
      </w:r>
      <w:r>
        <w:rPr>
          <w:sz w:val="26"/>
          <w:szCs w:val="26"/>
          <w:lang w:eastAsia="en-US"/>
        </w:rPr>
        <w:t xml:space="preserve"> кандидат </w:t>
      </w:r>
      <w:r w:rsidR="00CD2209">
        <w:rPr>
          <w:sz w:val="26"/>
          <w:szCs w:val="26"/>
          <w:lang w:eastAsia="en-US"/>
        </w:rPr>
        <w:t xml:space="preserve">               </w:t>
      </w:r>
      <w:r>
        <w:rPr>
          <w:sz w:val="26"/>
          <w:szCs w:val="26"/>
          <w:lang w:eastAsia="en-US"/>
        </w:rPr>
        <w:t xml:space="preserve">пояснила, що за 2015 рік вона отримала суддівську винагороду </w:t>
      </w:r>
      <w:r w:rsidR="00AC3730">
        <w:rPr>
          <w:sz w:val="26"/>
          <w:szCs w:val="26"/>
          <w:lang w:eastAsia="en-US"/>
        </w:rPr>
        <w:t>в</w:t>
      </w:r>
      <w:r>
        <w:rPr>
          <w:sz w:val="26"/>
          <w:szCs w:val="26"/>
          <w:lang w:eastAsia="en-US"/>
        </w:rPr>
        <w:t xml:space="preserve"> розмірі 195 616 грн та виплату як внутрішньо переміщена особа в розмірі 1 562 грн (загалом 197 178 грн),</w:t>
      </w:r>
      <w:r w:rsidR="00AC3730">
        <w:rPr>
          <w:sz w:val="26"/>
          <w:szCs w:val="26"/>
          <w:lang w:eastAsia="en-US"/>
        </w:rPr>
        <w:t xml:space="preserve"> </w:t>
      </w:r>
      <w:r>
        <w:rPr>
          <w:sz w:val="26"/>
          <w:szCs w:val="26"/>
          <w:lang w:eastAsia="en-US"/>
        </w:rPr>
        <w:t xml:space="preserve">кредити на загальну суму 24 822 грн та банківські бонуси в розмірі 15 грн. </w:t>
      </w:r>
      <w:r w:rsidR="00AC3730">
        <w:rPr>
          <w:sz w:val="26"/>
          <w:szCs w:val="26"/>
          <w:lang w:eastAsia="en-US"/>
        </w:rPr>
        <w:t>П</w:t>
      </w:r>
      <w:r>
        <w:rPr>
          <w:sz w:val="26"/>
          <w:szCs w:val="26"/>
          <w:lang w:eastAsia="en-US"/>
        </w:rPr>
        <w:t>ротягом 2015 року здійснені витрати на погашення фінансових зобов’язань, у тому числі, що виникли в минулі періоди, в загальному розмірі 49 809 грн.</w:t>
      </w:r>
      <w:r w:rsidR="00012CE5">
        <w:rPr>
          <w:sz w:val="26"/>
          <w:szCs w:val="26"/>
          <w:lang w:eastAsia="en-US"/>
        </w:rPr>
        <w:t xml:space="preserve"> </w:t>
      </w:r>
    </w:p>
    <w:p w14:paraId="2D6EE006" w14:textId="269EFB48" w:rsidR="00480115" w:rsidRDefault="00E45D5E">
      <w:pPr>
        <w:suppressAutoHyphens w:val="0"/>
        <w:spacing w:line="276" w:lineRule="auto"/>
        <w:ind w:firstLine="709"/>
        <w:jc w:val="both"/>
        <w:rPr>
          <w:sz w:val="26"/>
          <w:szCs w:val="26"/>
        </w:rPr>
      </w:pPr>
      <w:r>
        <w:rPr>
          <w:sz w:val="26"/>
          <w:szCs w:val="26"/>
          <w:lang w:eastAsia="en-US"/>
        </w:rPr>
        <w:t xml:space="preserve">На час подання майнової декларації за 2015 рік її форма та зміст визначалися Законом України «Про засади запобігання та протидії корупції». Відповідно в </w:t>
      </w:r>
      <w:r w:rsidR="00CD2209">
        <w:rPr>
          <w:sz w:val="26"/>
          <w:szCs w:val="26"/>
          <w:lang w:eastAsia="en-US"/>
        </w:rPr>
        <w:t xml:space="preserve">           </w:t>
      </w:r>
      <w:r>
        <w:rPr>
          <w:sz w:val="26"/>
          <w:szCs w:val="26"/>
          <w:lang w:eastAsia="en-US"/>
        </w:rPr>
        <w:t xml:space="preserve">майновій декларації було зазначено дохід у загальній сумі 197 178 грн, а також </w:t>
      </w:r>
      <w:r w:rsidR="00CD2209">
        <w:rPr>
          <w:sz w:val="26"/>
          <w:szCs w:val="26"/>
          <w:lang w:eastAsia="en-US"/>
        </w:rPr>
        <w:t xml:space="preserve">            </w:t>
      </w:r>
      <w:r>
        <w:rPr>
          <w:sz w:val="26"/>
          <w:szCs w:val="26"/>
          <w:lang w:eastAsia="en-US"/>
        </w:rPr>
        <w:t xml:space="preserve">здійснені витрати на погашення фінансових зобов’язань у загальному розмірі </w:t>
      </w:r>
      <w:r w:rsidR="00CD2209">
        <w:rPr>
          <w:sz w:val="26"/>
          <w:szCs w:val="26"/>
          <w:lang w:eastAsia="en-US"/>
        </w:rPr>
        <w:t xml:space="preserve">                </w:t>
      </w:r>
      <w:r>
        <w:rPr>
          <w:sz w:val="26"/>
          <w:szCs w:val="26"/>
          <w:lang w:eastAsia="en-US"/>
        </w:rPr>
        <w:t>49 809 грн.</w:t>
      </w:r>
      <w:r w:rsidR="00F86C7E">
        <w:rPr>
          <w:sz w:val="26"/>
          <w:szCs w:val="26"/>
          <w:lang w:eastAsia="en-US"/>
        </w:rPr>
        <w:t xml:space="preserve"> </w:t>
      </w:r>
      <w:r>
        <w:rPr>
          <w:sz w:val="26"/>
          <w:szCs w:val="26"/>
        </w:rPr>
        <w:t>Водночас після запровадження електронного декларування законодавство та офіційні роз’яснення НАЗК передбачали інший підхід до відображення фінансових зо</w:t>
      </w:r>
      <w:r w:rsidR="00F86C7E">
        <w:rPr>
          <w:sz w:val="26"/>
          <w:szCs w:val="26"/>
        </w:rPr>
        <w:t>бов’язань, відповідно до якого в Д</w:t>
      </w:r>
      <w:r>
        <w:rPr>
          <w:sz w:val="26"/>
          <w:szCs w:val="26"/>
        </w:rPr>
        <w:t xml:space="preserve">екларації зазначалися фінансові зобов’язання, чинні станом на останній день звітного періоду, а також інформація про сплачені </w:t>
      </w:r>
      <w:r w:rsidR="00CD2209">
        <w:rPr>
          <w:sz w:val="26"/>
          <w:szCs w:val="26"/>
        </w:rPr>
        <w:t xml:space="preserve">            </w:t>
      </w:r>
      <w:r>
        <w:rPr>
          <w:sz w:val="26"/>
          <w:szCs w:val="26"/>
        </w:rPr>
        <w:t xml:space="preserve">кошти лише за умови перевищення встановлених порогів декларування. </w:t>
      </w:r>
    </w:p>
    <w:p w14:paraId="11950892" w14:textId="6A10BEA3" w:rsidR="00480115" w:rsidRDefault="00E45D5E">
      <w:pPr>
        <w:suppressAutoHyphens w:val="0"/>
        <w:spacing w:line="276" w:lineRule="auto"/>
        <w:ind w:firstLine="709"/>
        <w:contextualSpacing/>
        <w:jc w:val="both"/>
        <w:rPr>
          <w:sz w:val="26"/>
          <w:szCs w:val="26"/>
        </w:rPr>
      </w:pPr>
      <w:r>
        <w:rPr>
          <w:sz w:val="26"/>
          <w:szCs w:val="26"/>
        </w:rPr>
        <w:lastRenderedPageBreak/>
        <w:t xml:space="preserve">Марченко Н.Ю. зазначила, що саме зміна нормативного регулювання та </w:t>
      </w:r>
      <w:r w:rsidR="00CD2209">
        <w:rPr>
          <w:sz w:val="26"/>
          <w:szCs w:val="26"/>
        </w:rPr>
        <w:t xml:space="preserve">            </w:t>
      </w:r>
      <w:r>
        <w:rPr>
          <w:sz w:val="26"/>
          <w:szCs w:val="26"/>
        </w:rPr>
        <w:t>підходів до декларування зумовила різницю у відображенні відповідних відомостей у майновій декларації та Декларації.</w:t>
      </w:r>
    </w:p>
    <w:p w14:paraId="6531EA05" w14:textId="2E841B92" w:rsidR="00480115" w:rsidRDefault="005E41F7">
      <w:pPr>
        <w:suppressAutoHyphens w:val="0"/>
        <w:spacing w:line="276" w:lineRule="auto"/>
        <w:ind w:firstLine="709"/>
        <w:jc w:val="both"/>
        <w:rPr>
          <w:sz w:val="26"/>
          <w:szCs w:val="26"/>
          <w:lang w:eastAsia="en-US"/>
        </w:rPr>
      </w:pPr>
      <w:r>
        <w:rPr>
          <w:sz w:val="26"/>
          <w:szCs w:val="26"/>
          <w:lang w:eastAsia="en-US"/>
        </w:rPr>
        <w:t>Кандидат пояснила, що з</w:t>
      </w:r>
      <w:r w:rsidR="00E45D5E">
        <w:rPr>
          <w:sz w:val="26"/>
          <w:szCs w:val="26"/>
          <w:lang w:eastAsia="en-US"/>
        </w:rPr>
        <w:t xml:space="preserve"> урахуванням нових підходів до декларування в </w:t>
      </w:r>
      <w:r w:rsidR="00CD2209">
        <w:rPr>
          <w:sz w:val="26"/>
          <w:szCs w:val="26"/>
          <w:lang w:eastAsia="en-US"/>
        </w:rPr>
        <w:t xml:space="preserve">                   </w:t>
      </w:r>
      <w:r w:rsidR="00E45D5E">
        <w:rPr>
          <w:sz w:val="26"/>
          <w:szCs w:val="26"/>
          <w:lang w:eastAsia="en-US"/>
        </w:rPr>
        <w:t>Декларації за 2015 рік зазначено дохід у розмірі 222 015 грн, який включав суддівську винагороду 195 616 грн, соціальну виплату 1</w:t>
      </w:r>
      <w:r w:rsidR="00202DEA">
        <w:rPr>
          <w:sz w:val="26"/>
          <w:szCs w:val="26"/>
          <w:lang w:eastAsia="en-US"/>
        </w:rPr>
        <w:t xml:space="preserve"> </w:t>
      </w:r>
      <w:r w:rsidR="00E45D5E">
        <w:rPr>
          <w:sz w:val="26"/>
          <w:szCs w:val="26"/>
          <w:lang w:eastAsia="en-US"/>
        </w:rPr>
        <w:t xml:space="preserve">562 грн, отримані кредити на суму </w:t>
      </w:r>
      <w:r w:rsidR="00CD2209">
        <w:rPr>
          <w:sz w:val="26"/>
          <w:szCs w:val="26"/>
          <w:lang w:eastAsia="en-US"/>
        </w:rPr>
        <w:t xml:space="preserve">                   </w:t>
      </w:r>
      <w:r w:rsidR="00E45D5E">
        <w:rPr>
          <w:sz w:val="26"/>
          <w:szCs w:val="26"/>
          <w:lang w:eastAsia="en-US"/>
        </w:rPr>
        <w:t>24 822 грн та бонуси 15 грн.</w:t>
      </w:r>
      <w:r>
        <w:rPr>
          <w:sz w:val="26"/>
          <w:szCs w:val="26"/>
          <w:lang w:eastAsia="en-US"/>
        </w:rPr>
        <w:t xml:space="preserve"> </w:t>
      </w:r>
      <w:r w:rsidR="00E45D5E">
        <w:rPr>
          <w:sz w:val="26"/>
          <w:szCs w:val="26"/>
          <w:lang w:eastAsia="en-US"/>
        </w:rPr>
        <w:t xml:space="preserve">Отже, різниця між задекларованим доходом у майновій декларації та Декларації полягає у включенні до сум доходу суми кредиту та </w:t>
      </w:r>
      <w:r w:rsidR="00CD2209">
        <w:rPr>
          <w:sz w:val="26"/>
          <w:szCs w:val="26"/>
          <w:lang w:eastAsia="en-US"/>
        </w:rPr>
        <w:t xml:space="preserve">                       </w:t>
      </w:r>
      <w:r w:rsidR="00E45D5E">
        <w:rPr>
          <w:sz w:val="26"/>
          <w:szCs w:val="26"/>
          <w:lang w:eastAsia="en-US"/>
        </w:rPr>
        <w:t xml:space="preserve">банківських бонусів. Крім того, в Декларації, на відміну від майнової декларації, </w:t>
      </w:r>
      <w:r w:rsidR="00CD2209">
        <w:rPr>
          <w:sz w:val="26"/>
          <w:szCs w:val="26"/>
          <w:lang w:eastAsia="en-US"/>
        </w:rPr>
        <w:t xml:space="preserve">                    </w:t>
      </w:r>
      <w:r w:rsidR="00E45D5E">
        <w:rPr>
          <w:sz w:val="26"/>
          <w:szCs w:val="26"/>
          <w:lang w:eastAsia="en-US"/>
        </w:rPr>
        <w:t>зазначено загальний розмір фінансових зобов’язань, які були дійсними станом на останній день звітного періоду, що відповідало законодавству та роз’ясненням НАЗК.</w:t>
      </w:r>
    </w:p>
    <w:p w14:paraId="46EBB43B" w14:textId="46AEB8CE" w:rsidR="00480115" w:rsidRDefault="00E45D5E">
      <w:pPr>
        <w:suppressAutoHyphens w:val="0"/>
        <w:spacing w:line="276" w:lineRule="auto"/>
        <w:ind w:firstLine="709"/>
        <w:jc w:val="both"/>
        <w:rPr>
          <w:sz w:val="26"/>
          <w:szCs w:val="26"/>
          <w:lang w:eastAsia="en-US"/>
        </w:rPr>
      </w:pPr>
      <w:r>
        <w:rPr>
          <w:sz w:val="26"/>
          <w:szCs w:val="26"/>
          <w:lang w:eastAsia="en-US"/>
        </w:rPr>
        <w:t xml:space="preserve">Комісія вважає пояснення Марченко Н.Ю. стосовно </w:t>
      </w:r>
      <w:r w:rsidR="0061143C">
        <w:rPr>
          <w:sz w:val="26"/>
          <w:szCs w:val="26"/>
          <w:lang w:eastAsia="en-US"/>
        </w:rPr>
        <w:t>розбіжностей</w:t>
      </w:r>
      <w:r w:rsidR="0061143C" w:rsidRPr="0061143C">
        <w:rPr>
          <w:sz w:val="26"/>
          <w:szCs w:val="26"/>
          <w:lang w:eastAsia="en-US"/>
        </w:rPr>
        <w:t xml:space="preserve"> в </w:t>
      </w:r>
      <w:r w:rsidR="006F4392">
        <w:rPr>
          <w:sz w:val="26"/>
          <w:szCs w:val="26"/>
          <w:lang w:eastAsia="en-US"/>
        </w:rPr>
        <w:t>майновій декларації за 2015 рік та Д</w:t>
      </w:r>
      <w:r w:rsidR="0061143C" w:rsidRPr="0061143C">
        <w:rPr>
          <w:sz w:val="26"/>
          <w:szCs w:val="26"/>
          <w:lang w:eastAsia="en-US"/>
        </w:rPr>
        <w:t xml:space="preserve">екларації </w:t>
      </w:r>
      <w:r w:rsidR="006F4392">
        <w:rPr>
          <w:sz w:val="26"/>
          <w:szCs w:val="26"/>
          <w:lang w:eastAsia="en-US"/>
        </w:rPr>
        <w:t xml:space="preserve">за 2015 рік в частині </w:t>
      </w:r>
      <w:r>
        <w:rPr>
          <w:sz w:val="26"/>
          <w:szCs w:val="26"/>
          <w:lang w:eastAsia="en-US"/>
        </w:rPr>
        <w:t xml:space="preserve">задекларованого доходу та фінансових зобов’язань достатніми. </w:t>
      </w:r>
    </w:p>
    <w:p w14:paraId="5B6E2348" w14:textId="6D66AD58" w:rsidR="00480115" w:rsidRDefault="00E45D5E">
      <w:pPr>
        <w:suppressAutoHyphens w:val="0"/>
        <w:spacing w:line="276" w:lineRule="auto"/>
        <w:ind w:firstLine="709"/>
        <w:jc w:val="both"/>
        <w:rPr>
          <w:sz w:val="26"/>
          <w:szCs w:val="26"/>
          <w:lang w:eastAsia="en-US"/>
        </w:rPr>
      </w:pPr>
      <w:r>
        <w:rPr>
          <w:sz w:val="26"/>
          <w:szCs w:val="26"/>
          <w:lang w:eastAsia="en-US"/>
        </w:rPr>
        <w:t xml:space="preserve">Водночас пояснення кандидата щодо причин декларування різної  площі </w:t>
      </w:r>
      <w:r w:rsidR="00CD2209">
        <w:rPr>
          <w:sz w:val="26"/>
          <w:szCs w:val="26"/>
          <w:lang w:eastAsia="en-US"/>
        </w:rPr>
        <w:t xml:space="preserve">               </w:t>
      </w:r>
      <w:r>
        <w:rPr>
          <w:sz w:val="26"/>
          <w:szCs w:val="26"/>
          <w:lang w:eastAsia="en-US"/>
        </w:rPr>
        <w:t xml:space="preserve">нерухомого майна Комісія оцінює критично, оскільки  із наведених пояснень не </w:t>
      </w:r>
      <w:r w:rsidR="00CD2209">
        <w:rPr>
          <w:sz w:val="26"/>
          <w:szCs w:val="26"/>
          <w:lang w:eastAsia="en-US"/>
        </w:rPr>
        <w:t xml:space="preserve">                 </w:t>
      </w:r>
      <w:r>
        <w:rPr>
          <w:sz w:val="26"/>
          <w:szCs w:val="26"/>
          <w:lang w:eastAsia="en-US"/>
        </w:rPr>
        <w:t xml:space="preserve">вбачається, що саме перешкоджало кандидату з’ясувати фактичну площу квартири під час її першого декларування. Посилання на відсутність відомостей про площу в </w:t>
      </w:r>
      <w:r w:rsidR="00CD2209">
        <w:rPr>
          <w:sz w:val="26"/>
          <w:szCs w:val="26"/>
          <w:lang w:eastAsia="en-US"/>
        </w:rPr>
        <w:t xml:space="preserve">                  </w:t>
      </w:r>
      <w:r>
        <w:rPr>
          <w:sz w:val="26"/>
          <w:szCs w:val="26"/>
          <w:lang w:eastAsia="en-US"/>
        </w:rPr>
        <w:t xml:space="preserve">договорі оренди та зазначення цієї інформації зі слів власниці не пояснює, чому </w:t>
      </w:r>
      <w:r w:rsidR="00CD2209">
        <w:rPr>
          <w:sz w:val="26"/>
          <w:szCs w:val="26"/>
          <w:lang w:eastAsia="en-US"/>
        </w:rPr>
        <w:t xml:space="preserve">                   </w:t>
      </w:r>
      <w:r>
        <w:rPr>
          <w:sz w:val="26"/>
          <w:szCs w:val="26"/>
          <w:lang w:eastAsia="en-US"/>
        </w:rPr>
        <w:t xml:space="preserve">відомості зі свідоцтва про право власності, на підставі яких згодом було уточнено площу житла, не могли бути отримані та використані при першому декларуванні. </w:t>
      </w:r>
    </w:p>
    <w:p w14:paraId="2B4C77EB" w14:textId="20456139" w:rsidR="00480115" w:rsidRPr="00B410B6" w:rsidRDefault="004412F2">
      <w:pPr>
        <w:suppressAutoHyphens w:val="0"/>
        <w:spacing w:line="276" w:lineRule="auto"/>
        <w:ind w:firstLine="709"/>
        <w:jc w:val="both"/>
        <w:rPr>
          <w:sz w:val="26"/>
          <w:szCs w:val="26"/>
          <w:lang w:eastAsia="en-US"/>
        </w:rPr>
      </w:pPr>
      <w:r>
        <w:rPr>
          <w:sz w:val="26"/>
          <w:szCs w:val="26"/>
          <w:lang w:eastAsia="en-US"/>
        </w:rPr>
        <w:t>У</w:t>
      </w:r>
      <w:r w:rsidR="00E45D5E" w:rsidRPr="00B410B6">
        <w:rPr>
          <w:sz w:val="26"/>
          <w:szCs w:val="26"/>
          <w:lang w:eastAsia="en-US"/>
        </w:rPr>
        <w:t xml:space="preserve">раховуючи викладене, </w:t>
      </w:r>
      <w:r>
        <w:rPr>
          <w:sz w:val="26"/>
          <w:szCs w:val="26"/>
          <w:lang w:eastAsia="en-US"/>
        </w:rPr>
        <w:t>у</w:t>
      </w:r>
      <w:r w:rsidR="00E45D5E" w:rsidRPr="00B410B6">
        <w:rPr>
          <w:sz w:val="26"/>
          <w:szCs w:val="26"/>
          <w:lang w:eastAsia="en-US"/>
        </w:rPr>
        <w:t>казане може бути підставою для зменшення кількості балів кандидата за показником «Сумлінність» критерію доброчесності.</w:t>
      </w:r>
    </w:p>
    <w:p w14:paraId="2FA14864" w14:textId="77777777" w:rsidR="00480115" w:rsidRPr="00E50DC7" w:rsidRDefault="00480115">
      <w:pPr>
        <w:suppressAutoHyphens w:val="0"/>
        <w:spacing w:line="276" w:lineRule="auto"/>
        <w:ind w:firstLine="709"/>
        <w:jc w:val="both"/>
        <w:rPr>
          <w:color w:val="EE0000"/>
          <w:sz w:val="26"/>
          <w:szCs w:val="26"/>
          <w:lang w:eastAsia="en-US"/>
        </w:rPr>
      </w:pPr>
    </w:p>
    <w:p w14:paraId="5962EBE2" w14:textId="78664460" w:rsidR="00480115" w:rsidRDefault="00E45D5E">
      <w:pPr>
        <w:suppressAutoHyphens w:val="0"/>
        <w:spacing w:line="276" w:lineRule="auto"/>
        <w:ind w:firstLine="709"/>
        <w:jc w:val="both"/>
        <w:rPr>
          <w:sz w:val="26"/>
          <w:szCs w:val="26"/>
          <w:lang w:eastAsia="en-US"/>
        </w:rPr>
      </w:pPr>
      <w:r>
        <w:rPr>
          <w:sz w:val="26"/>
          <w:szCs w:val="26"/>
          <w:lang w:eastAsia="en-US"/>
        </w:rPr>
        <w:t xml:space="preserve">2. </w:t>
      </w:r>
      <w:r w:rsidR="006A3C00">
        <w:rPr>
          <w:sz w:val="26"/>
          <w:szCs w:val="26"/>
          <w:lang w:eastAsia="en-US"/>
        </w:rPr>
        <w:t>ІНФОРМАЦІЯ_1</w:t>
      </w:r>
      <w:r>
        <w:rPr>
          <w:sz w:val="26"/>
          <w:szCs w:val="26"/>
          <w:lang w:eastAsia="en-US"/>
        </w:rPr>
        <w:t xml:space="preserve"> Марченко Н.Ю. з 2021 року постійно проживають на </w:t>
      </w:r>
      <w:r w:rsidR="00CD2209">
        <w:rPr>
          <w:sz w:val="26"/>
          <w:szCs w:val="26"/>
          <w:lang w:eastAsia="en-US"/>
        </w:rPr>
        <w:t xml:space="preserve">                  </w:t>
      </w:r>
      <w:r>
        <w:rPr>
          <w:sz w:val="26"/>
          <w:szCs w:val="26"/>
          <w:lang w:eastAsia="en-US"/>
        </w:rPr>
        <w:t>тимчасово окупованій території України, а до цього регулярно її відвідували.</w:t>
      </w:r>
    </w:p>
    <w:p w14:paraId="430028D9" w14:textId="69AB96AA" w:rsidR="00480115" w:rsidRDefault="00076976">
      <w:pPr>
        <w:suppressAutoHyphens w:val="0"/>
        <w:spacing w:line="276" w:lineRule="auto"/>
        <w:ind w:firstLine="709"/>
        <w:jc w:val="both"/>
        <w:rPr>
          <w:sz w:val="26"/>
          <w:szCs w:val="26"/>
          <w:lang w:eastAsia="en-US"/>
        </w:rPr>
      </w:pPr>
      <w:r>
        <w:rPr>
          <w:sz w:val="26"/>
          <w:szCs w:val="26"/>
          <w:lang w:eastAsia="en-US"/>
        </w:rPr>
        <w:t>ГРД вказала, що п</w:t>
      </w:r>
      <w:r w:rsidR="00E45D5E">
        <w:rPr>
          <w:sz w:val="26"/>
          <w:szCs w:val="26"/>
          <w:lang w:eastAsia="en-US"/>
        </w:rPr>
        <w:t xml:space="preserve">ід час аналізу інформації про кандидата встановлено </w:t>
      </w:r>
      <w:r w:rsidR="00CD2209">
        <w:rPr>
          <w:sz w:val="26"/>
          <w:szCs w:val="26"/>
          <w:lang w:eastAsia="en-US"/>
        </w:rPr>
        <w:t xml:space="preserve">                    </w:t>
      </w:r>
      <w:r w:rsidR="00E45D5E">
        <w:rPr>
          <w:sz w:val="26"/>
          <w:szCs w:val="26"/>
          <w:lang w:eastAsia="en-US"/>
        </w:rPr>
        <w:t xml:space="preserve">обставини, пов’язані з перебуванням </w:t>
      </w:r>
      <w:r w:rsidR="006A3C00">
        <w:rPr>
          <w:sz w:val="26"/>
          <w:szCs w:val="26"/>
          <w:lang w:eastAsia="en-US"/>
        </w:rPr>
        <w:t>ІНФОРМАЦІЯ_2</w:t>
      </w:r>
      <w:r w:rsidR="00E45D5E">
        <w:rPr>
          <w:sz w:val="26"/>
          <w:szCs w:val="26"/>
          <w:lang w:eastAsia="en-US"/>
        </w:rPr>
        <w:t xml:space="preserve"> на тимчасово </w:t>
      </w:r>
      <w:r w:rsidR="00CD2209">
        <w:rPr>
          <w:sz w:val="26"/>
          <w:szCs w:val="26"/>
          <w:lang w:eastAsia="en-US"/>
        </w:rPr>
        <w:t xml:space="preserve">                                          </w:t>
      </w:r>
      <w:r w:rsidR="00E45D5E">
        <w:rPr>
          <w:sz w:val="26"/>
          <w:szCs w:val="26"/>
          <w:lang w:eastAsia="en-US"/>
        </w:rPr>
        <w:t>окупованій території України після початку збройної агресії російської федерації проти України.</w:t>
      </w:r>
    </w:p>
    <w:p w14:paraId="782BEE50" w14:textId="14AC5177" w:rsidR="00480115" w:rsidRDefault="00E45D5E">
      <w:pPr>
        <w:suppressAutoHyphens w:val="0"/>
        <w:spacing w:line="276" w:lineRule="auto"/>
        <w:ind w:firstLine="709"/>
        <w:jc w:val="both"/>
        <w:rPr>
          <w:sz w:val="26"/>
          <w:szCs w:val="26"/>
          <w:lang w:eastAsia="en-US"/>
        </w:rPr>
      </w:pPr>
      <w:r>
        <w:rPr>
          <w:sz w:val="26"/>
          <w:szCs w:val="26"/>
          <w:lang w:eastAsia="en-US"/>
        </w:rPr>
        <w:t xml:space="preserve">Водночас ГРД зазначила, що встановлені обставини стосуються проживання </w:t>
      </w:r>
      <w:r w:rsidR="006A3C00">
        <w:rPr>
          <w:sz w:val="26"/>
          <w:szCs w:val="26"/>
          <w:lang w:eastAsia="en-US"/>
        </w:rPr>
        <w:t xml:space="preserve"> ІНФОРМАЦІЯ_3</w:t>
      </w:r>
      <w:r>
        <w:rPr>
          <w:sz w:val="26"/>
          <w:szCs w:val="26"/>
          <w:lang w:eastAsia="en-US"/>
        </w:rPr>
        <w:t xml:space="preserve"> кандидата на тимчасово окупованій території України, а також їхніх поїздок між окупованою та підконтрольною територіями </w:t>
      </w:r>
      <w:r w:rsidR="001736E5">
        <w:rPr>
          <w:sz w:val="26"/>
          <w:szCs w:val="26"/>
          <w:lang w:eastAsia="en-US"/>
        </w:rPr>
        <w:t>в</w:t>
      </w:r>
      <w:r>
        <w:rPr>
          <w:sz w:val="26"/>
          <w:szCs w:val="26"/>
          <w:lang w:eastAsia="en-US"/>
        </w:rPr>
        <w:t xml:space="preserve"> попередні роки. </w:t>
      </w:r>
      <w:r w:rsidR="00CD2209">
        <w:rPr>
          <w:sz w:val="26"/>
          <w:szCs w:val="26"/>
          <w:lang w:eastAsia="en-US"/>
        </w:rPr>
        <w:t xml:space="preserve">                    </w:t>
      </w:r>
      <w:r w:rsidR="001736E5">
        <w:rPr>
          <w:sz w:val="26"/>
          <w:szCs w:val="26"/>
          <w:lang w:eastAsia="en-US"/>
        </w:rPr>
        <w:t>В</w:t>
      </w:r>
      <w:r>
        <w:rPr>
          <w:sz w:val="26"/>
          <w:szCs w:val="26"/>
          <w:lang w:eastAsia="en-US"/>
        </w:rPr>
        <w:t xml:space="preserve">ідомостей, які б свідчили про здійснення Марченко Н.Ю. поїздок до російської </w:t>
      </w:r>
      <w:r w:rsidR="00CD2209">
        <w:rPr>
          <w:sz w:val="26"/>
          <w:szCs w:val="26"/>
          <w:lang w:eastAsia="en-US"/>
        </w:rPr>
        <w:t xml:space="preserve">                  </w:t>
      </w:r>
      <w:r>
        <w:rPr>
          <w:sz w:val="26"/>
          <w:szCs w:val="26"/>
          <w:lang w:eastAsia="en-US"/>
        </w:rPr>
        <w:t xml:space="preserve">федерації, Республіки Білорусь чи на тимчасово окуповані території України після її виїзду з міста Горлівка у 2014 році, наявність у неї майнових або корпоративних </w:t>
      </w:r>
      <w:r w:rsidR="00CD2209">
        <w:rPr>
          <w:sz w:val="26"/>
          <w:szCs w:val="26"/>
          <w:lang w:eastAsia="en-US"/>
        </w:rPr>
        <w:t xml:space="preserve">                      </w:t>
      </w:r>
      <w:r>
        <w:rPr>
          <w:sz w:val="26"/>
          <w:szCs w:val="26"/>
          <w:lang w:eastAsia="en-US"/>
        </w:rPr>
        <w:t xml:space="preserve">інтересів, пов’язаних з державою-агресором, підтримку окупаційних адміністрацій або інші обставини, які могли б поставити під сумнів її відповідність критеріям </w:t>
      </w:r>
      <w:r w:rsidR="00CD2209">
        <w:rPr>
          <w:sz w:val="26"/>
          <w:szCs w:val="26"/>
          <w:lang w:eastAsia="en-US"/>
        </w:rPr>
        <w:t xml:space="preserve">                      </w:t>
      </w:r>
      <w:r>
        <w:rPr>
          <w:sz w:val="26"/>
          <w:szCs w:val="26"/>
          <w:lang w:eastAsia="en-US"/>
        </w:rPr>
        <w:t>доброчесності чи професійної етики, не встановлено.</w:t>
      </w:r>
    </w:p>
    <w:p w14:paraId="486258F7" w14:textId="303AA9C3" w:rsidR="00480115" w:rsidRDefault="00E45D5E">
      <w:pPr>
        <w:suppressAutoHyphens w:val="0"/>
        <w:spacing w:line="276" w:lineRule="auto"/>
        <w:ind w:firstLine="709"/>
        <w:jc w:val="both"/>
        <w:rPr>
          <w:sz w:val="26"/>
          <w:szCs w:val="26"/>
          <w:lang w:eastAsia="en-US"/>
        </w:rPr>
      </w:pPr>
      <w:r>
        <w:rPr>
          <w:sz w:val="26"/>
          <w:szCs w:val="26"/>
          <w:lang w:eastAsia="en-US"/>
        </w:rPr>
        <w:lastRenderedPageBreak/>
        <w:t xml:space="preserve">ГРД вказала, що зазначена інформація може бути врахована під час оцінювання Марченко Н.Ю., однак сама </w:t>
      </w:r>
      <w:r w:rsidR="003309EA">
        <w:rPr>
          <w:sz w:val="26"/>
          <w:szCs w:val="26"/>
          <w:lang w:eastAsia="en-US"/>
        </w:rPr>
        <w:t>собою</w:t>
      </w:r>
      <w:r>
        <w:rPr>
          <w:sz w:val="26"/>
          <w:szCs w:val="26"/>
          <w:lang w:eastAsia="en-US"/>
        </w:rPr>
        <w:t xml:space="preserve"> не є підставою для висновку про її невідповідність критеріям доброчесності та професійної етики.</w:t>
      </w:r>
    </w:p>
    <w:p w14:paraId="7FFBD6C4" w14:textId="77777777" w:rsidR="00480115" w:rsidRDefault="00E45D5E">
      <w:pPr>
        <w:spacing w:line="276" w:lineRule="auto"/>
        <w:ind w:firstLine="709"/>
        <w:contextualSpacing/>
        <w:jc w:val="both"/>
        <w:rPr>
          <w:sz w:val="26"/>
          <w:szCs w:val="26"/>
        </w:rPr>
      </w:pPr>
      <w:r>
        <w:rPr>
          <w:sz w:val="26"/>
          <w:szCs w:val="26"/>
        </w:rPr>
        <w:t xml:space="preserve">Кандидат надала письмові та усні пояснення під час співбесіди. </w:t>
      </w:r>
    </w:p>
    <w:p w14:paraId="7B6B11A3" w14:textId="13FFC8CE" w:rsidR="00480115" w:rsidRDefault="00E45D5E">
      <w:pPr>
        <w:suppressAutoHyphens w:val="0"/>
        <w:spacing w:line="276" w:lineRule="auto"/>
        <w:ind w:firstLine="709"/>
        <w:contextualSpacing/>
        <w:jc w:val="both"/>
        <w:rPr>
          <w:sz w:val="26"/>
          <w:szCs w:val="26"/>
        </w:rPr>
      </w:pPr>
      <w:r>
        <w:rPr>
          <w:sz w:val="26"/>
          <w:szCs w:val="26"/>
          <w:lang w:eastAsia="en-US"/>
        </w:rPr>
        <w:t>Марченко Н.Ю. повідомила, що до тимчасової окупації російською федерацією частини Донецької області вона та її близь</w:t>
      </w:r>
      <w:r w:rsidR="003309EA">
        <w:rPr>
          <w:sz w:val="26"/>
          <w:szCs w:val="26"/>
          <w:lang w:eastAsia="en-US"/>
        </w:rPr>
        <w:t xml:space="preserve">кі родичі (батько </w:t>
      </w:r>
      <w:r w:rsidR="00BC191B">
        <w:rPr>
          <w:sz w:val="26"/>
          <w:szCs w:val="26"/>
          <w:lang w:eastAsia="en-US"/>
        </w:rPr>
        <w:t>ОСОБА_1</w:t>
      </w:r>
      <w:r>
        <w:rPr>
          <w:sz w:val="26"/>
          <w:szCs w:val="26"/>
          <w:lang w:eastAsia="en-US"/>
        </w:rPr>
        <w:t xml:space="preserve"> </w:t>
      </w:r>
      <w:r w:rsidR="00BC191B">
        <w:rPr>
          <w:sz w:val="26"/>
          <w:szCs w:val="26"/>
          <w:lang w:eastAsia="en-US"/>
        </w:rPr>
        <w:t>____</w:t>
      </w:r>
      <w:r>
        <w:rPr>
          <w:sz w:val="26"/>
          <w:szCs w:val="26"/>
          <w:lang w:eastAsia="en-US"/>
        </w:rPr>
        <w:t xml:space="preserve"> року</w:t>
      </w:r>
      <w:r w:rsidR="003309EA">
        <w:rPr>
          <w:sz w:val="26"/>
          <w:szCs w:val="26"/>
          <w:lang w:eastAsia="en-US"/>
        </w:rPr>
        <w:t xml:space="preserve"> народження, мати </w:t>
      </w:r>
      <w:r w:rsidR="00BC191B">
        <w:rPr>
          <w:sz w:val="26"/>
          <w:szCs w:val="26"/>
          <w:lang w:eastAsia="en-US"/>
        </w:rPr>
        <w:t>ОСОБА_2</w:t>
      </w:r>
      <w:r>
        <w:rPr>
          <w:sz w:val="26"/>
          <w:szCs w:val="26"/>
          <w:lang w:eastAsia="en-US"/>
        </w:rPr>
        <w:t xml:space="preserve"> </w:t>
      </w:r>
      <w:r w:rsidR="00BC191B">
        <w:rPr>
          <w:sz w:val="26"/>
          <w:szCs w:val="26"/>
          <w:lang w:eastAsia="en-US"/>
        </w:rPr>
        <w:t>____</w:t>
      </w:r>
      <w:r>
        <w:rPr>
          <w:sz w:val="26"/>
          <w:szCs w:val="26"/>
          <w:lang w:eastAsia="en-US"/>
        </w:rPr>
        <w:t xml:space="preserve"> року народження, баба </w:t>
      </w:r>
      <w:r w:rsidR="00BC191B">
        <w:rPr>
          <w:sz w:val="26"/>
          <w:szCs w:val="26"/>
          <w:lang w:eastAsia="en-US"/>
        </w:rPr>
        <w:t>ОСОБА_3</w:t>
      </w:r>
      <w:r>
        <w:rPr>
          <w:sz w:val="26"/>
          <w:szCs w:val="26"/>
          <w:lang w:eastAsia="en-US"/>
        </w:rPr>
        <w:t xml:space="preserve"> </w:t>
      </w:r>
      <w:r w:rsidR="00CD2209">
        <w:rPr>
          <w:sz w:val="26"/>
          <w:szCs w:val="26"/>
          <w:lang w:eastAsia="en-US"/>
        </w:rPr>
        <w:t xml:space="preserve">                                                </w:t>
      </w:r>
      <w:r w:rsidR="00BC191B">
        <w:rPr>
          <w:sz w:val="26"/>
          <w:szCs w:val="26"/>
          <w:lang w:eastAsia="en-US"/>
        </w:rPr>
        <w:t>____</w:t>
      </w:r>
      <w:r>
        <w:rPr>
          <w:sz w:val="26"/>
          <w:szCs w:val="26"/>
          <w:lang w:eastAsia="en-US"/>
        </w:rPr>
        <w:t xml:space="preserve"> року народження) постійно проживали в місті Горлівка.</w:t>
      </w:r>
    </w:p>
    <w:p w14:paraId="5590A4C2" w14:textId="273699A1" w:rsidR="00480115" w:rsidRDefault="00E45D5E">
      <w:pPr>
        <w:suppressAutoHyphens w:val="0"/>
        <w:spacing w:line="276" w:lineRule="auto"/>
        <w:ind w:firstLine="709"/>
        <w:contextualSpacing/>
        <w:jc w:val="both"/>
        <w:rPr>
          <w:sz w:val="26"/>
          <w:szCs w:val="26"/>
        </w:rPr>
      </w:pPr>
      <w:r>
        <w:rPr>
          <w:sz w:val="26"/>
          <w:szCs w:val="26"/>
          <w:lang w:eastAsia="en-US"/>
        </w:rPr>
        <w:t xml:space="preserve">Кандидат пояснила, що її мати виїхала з міста Горлівка у 2014 році, проживає та працює в місті Харкові; відвідувала тимчасово окуповану територію наприкінці </w:t>
      </w:r>
      <w:r w:rsidR="00CD2209">
        <w:rPr>
          <w:sz w:val="26"/>
          <w:szCs w:val="26"/>
          <w:lang w:eastAsia="en-US"/>
        </w:rPr>
        <w:t xml:space="preserve">                 </w:t>
      </w:r>
      <w:r>
        <w:rPr>
          <w:sz w:val="26"/>
          <w:szCs w:val="26"/>
          <w:lang w:eastAsia="en-US"/>
        </w:rPr>
        <w:t xml:space="preserve">грудня 2015 року з метою вивезення особистих речей та в період з 12 до 17 червня </w:t>
      </w:r>
      <w:r w:rsidR="00CD2209">
        <w:rPr>
          <w:sz w:val="26"/>
          <w:szCs w:val="26"/>
          <w:lang w:eastAsia="en-US"/>
        </w:rPr>
        <w:t xml:space="preserve">       </w:t>
      </w:r>
      <w:r>
        <w:rPr>
          <w:sz w:val="26"/>
          <w:szCs w:val="26"/>
          <w:lang w:eastAsia="en-US"/>
        </w:rPr>
        <w:t xml:space="preserve">2019 року через особисті обставини. </w:t>
      </w:r>
      <w:r w:rsidR="006A3C00">
        <w:rPr>
          <w:sz w:val="26"/>
          <w:szCs w:val="26"/>
          <w:lang w:eastAsia="en-US"/>
        </w:rPr>
        <w:t>ІНФОРМАЦІЯ_4</w:t>
      </w:r>
      <w:r>
        <w:rPr>
          <w:sz w:val="26"/>
          <w:szCs w:val="26"/>
          <w:lang w:eastAsia="en-US"/>
        </w:rPr>
        <w:t xml:space="preserve"> залишилися проживати на </w:t>
      </w:r>
      <w:r w:rsidR="00CD2209">
        <w:rPr>
          <w:sz w:val="26"/>
          <w:szCs w:val="26"/>
          <w:lang w:eastAsia="en-US"/>
        </w:rPr>
        <w:t xml:space="preserve">                 </w:t>
      </w:r>
      <w:r>
        <w:rPr>
          <w:sz w:val="26"/>
          <w:szCs w:val="26"/>
          <w:lang w:eastAsia="en-US"/>
        </w:rPr>
        <w:t>тимчасово окупованій території.</w:t>
      </w:r>
    </w:p>
    <w:p w14:paraId="290D7AC6" w14:textId="56313DBE" w:rsidR="00480115" w:rsidRDefault="00313F13">
      <w:pPr>
        <w:suppressAutoHyphens w:val="0"/>
        <w:spacing w:line="276" w:lineRule="auto"/>
        <w:ind w:firstLine="709"/>
        <w:contextualSpacing/>
        <w:jc w:val="both"/>
        <w:rPr>
          <w:sz w:val="26"/>
          <w:szCs w:val="26"/>
        </w:rPr>
      </w:pPr>
      <w:r>
        <w:rPr>
          <w:sz w:val="26"/>
          <w:szCs w:val="26"/>
          <w:lang w:eastAsia="en-US"/>
        </w:rPr>
        <w:t>Також</w:t>
      </w:r>
      <w:r w:rsidR="00E45D5E">
        <w:rPr>
          <w:sz w:val="26"/>
          <w:szCs w:val="26"/>
          <w:lang w:eastAsia="en-US"/>
        </w:rPr>
        <w:t xml:space="preserve"> Марченко Н.Ю. зазначила, що</w:t>
      </w:r>
      <w:r>
        <w:rPr>
          <w:sz w:val="26"/>
          <w:szCs w:val="26"/>
          <w:lang w:eastAsia="en-US"/>
        </w:rPr>
        <w:t>,</w:t>
      </w:r>
      <w:r w:rsidR="00E45D5E">
        <w:rPr>
          <w:sz w:val="26"/>
          <w:szCs w:val="26"/>
          <w:lang w:eastAsia="en-US"/>
        </w:rPr>
        <w:t xml:space="preserve"> за інформацією її суддівського досьє, </w:t>
      </w:r>
      <w:r w:rsidR="00CD2209">
        <w:rPr>
          <w:sz w:val="26"/>
          <w:szCs w:val="26"/>
          <w:lang w:eastAsia="en-US"/>
        </w:rPr>
        <w:t xml:space="preserve">              </w:t>
      </w:r>
      <w:r w:rsidR="006A3C00">
        <w:rPr>
          <w:sz w:val="26"/>
          <w:szCs w:val="26"/>
          <w:lang w:eastAsia="en-US"/>
        </w:rPr>
        <w:t>ІНФОРМАЦІЯ_5</w:t>
      </w:r>
      <w:r w:rsidR="00E45D5E">
        <w:rPr>
          <w:sz w:val="26"/>
          <w:szCs w:val="26"/>
          <w:lang w:eastAsia="en-US"/>
        </w:rPr>
        <w:t xml:space="preserve"> протягом 2015</w:t>
      </w:r>
      <w:r>
        <w:rPr>
          <w:sz w:val="26"/>
          <w:szCs w:val="26"/>
          <w:lang w:eastAsia="en-US"/>
        </w:rPr>
        <w:t>–</w:t>
      </w:r>
      <w:r w:rsidR="00E45D5E">
        <w:rPr>
          <w:sz w:val="26"/>
          <w:szCs w:val="26"/>
          <w:lang w:eastAsia="en-US"/>
        </w:rPr>
        <w:t xml:space="preserve">2021 років здійснювали регулярні поїздки між містом Горлівка та підконтрольною територією, в тому числі через територію російської федерації. Такі поїздки на окуповану територію були пов’язані з необхідністю догляду за належним їм житлом. Після повномасштабного вторгнення російської федерації у 2022 році </w:t>
      </w:r>
      <w:r w:rsidR="006A3C00">
        <w:rPr>
          <w:sz w:val="26"/>
          <w:szCs w:val="26"/>
          <w:lang w:eastAsia="en-US"/>
        </w:rPr>
        <w:t>ІНФОРМАЦІЯ_6</w:t>
      </w:r>
      <w:r w:rsidR="00E45D5E">
        <w:rPr>
          <w:sz w:val="26"/>
          <w:szCs w:val="26"/>
          <w:lang w:eastAsia="en-US"/>
        </w:rPr>
        <w:t xml:space="preserve"> через відсутність транспортного сполучення з</w:t>
      </w:r>
      <w:r w:rsidR="00CD2209">
        <w:rPr>
          <w:sz w:val="26"/>
          <w:szCs w:val="26"/>
          <w:lang w:eastAsia="en-US"/>
        </w:rPr>
        <w:t xml:space="preserve">                          </w:t>
      </w:r>
      <w:r w:rsidR="00E45D5E">
        <w:rPr>
          <w:sz w:val="26"/>
          <w:szCs w:val="26"/>
          <w:lang w:eastAsia="en-US"/>
        </w:rPr>
        <w:t xml:space="preserve">підконтрольною територією України залишаються на тимчасово окупованій території.  </w:t>
      </w:r>
    </w:p>
    <w:p w14:paraId="052BBEAC" w14:textId="5815208E" w:rsidR="00480115" w:rsidRDefault="00E45D5E">
      <w:pPr>
        <w:suppressAutoHyphens w:val="0"/>
        <w:spacing w:line="276" w:lineRule="auto"/>
        <w:ind w:firstLine="709"/>
        <w:contextualSpacing/>
        <w:jc w:val="both"/>
        <w:rPr>
          <w:sz w:val="26"/>
          <w:szCs w:val="26"/>
        </w:rPr>
      </w:pPr>
      <w:r>
        <w:rPr>
          <w:sz w:val="26"/>
          <w:szCs w:val="26"/>
        </w:rPr>
        <w:t xml:space="preserve">Марченко Н.Ю. звернула увагу, що не підтримує такі поїздки та не вважає їх виправданими нагальною необхідністю. Водночас вона пояснила, що не має </w:t>
      </w:r>
      <w:r w:rsidR="00CD2209">
        <w:rPr>
          <w:sz w:val="26"/>
          <w:szCs w:val="26"/>
        </w:rPr>
        <w:t xml:space="preserve">                     </w:t>
      </w:r>
      <w:r>
        <w:rPr>
          <w:sz w:val="26"/>
          <w:szCs w:val="26"/>
        </w:rPr>
        <w:t xml:space="preserve">можливості вплинути на рішення </w:t>
      </w:r>
      <w:r w:rsidR="00BA5B8F">
        <w:rPr>
          <w:sz w:val="26"/>
          <w:szCs w:val="26"/>
        </w:rPr>
        <w:t>ІНФОРМАЦІЯ_7</w:t>
      </w:r>
      <w:r>
        <w:rPr>
          <w:sz w:val="26"/>
          <w:szCs w:val="26"/>
        </w:rPr>
        <w:t xml:space="preserve"> та вказала, що </w:t>
      </w:r>
      <w:r w:rsidR="006A3C00">
        <w:rPr>
          <w:sz w:val="26"/>
          <w:szCs w:val="26"/>
        </w:rPr>
        <w:t>ІНФОРМАЦІЯ_</w:t>
      </w:r>
      <w:r w:rsidR="00BA5B8F">
        <w:rPr>
          <w:sz w:val="26"/>
          <w:szCs w:val="26"/>
        </w:rPr>
        <w:t>8</w:t>
      </w:r>
      <w:r>
        <w:rPr>
          <w:sz w:val="26"/>
          <w:szCs w:val="26"/>
        </w:rPr>
        <w:t xml:space="preserve"> не є членами її сім’ї, з лютого 2022 року контакти з ними обмежені.</w:t>
      </w:r>
    </w:p>
    <w:p w14:paraId="7A3E7D8F" w14:textId="17E48149" w:rsidR="00480115" w:rsidRDefault="00E45D5E">
      <w:pPr>
        <w:suppressAutoHyphens w:val="0"/>
        <w:spacing w:line="276" w:lineRule="auto"/>
        <w:ind w:firstLine="709"/>
        <w:contextualSpacing/>
        <w:jc w:val="both"/>
        <w:rPr>
          <w:sz w:val="26"/>
          <w:szCs w:val="26"/>
        </w:rPr>
      </w:pPr>
      <w:r>
        <w:rPr>
          <w:sz w:val="26"/>
          <w:szCs w:val="26"/>
        </w:rPr>
        <w:t xml:space="preserve">Кандидат підтвердила, що, за наявною у неї інформацією, </w:t>
      </w:r>
      <w:r w:rsidR="006A3C00">
        <w:rPr>
          <w:sz w:val="26"/>
          <w:szCs w:val="26"/>
        </w:rPr>
        <w:t>ІНФОРМАЦІЯ_</w:t>
      </w:r>
      <w:r w:rsidR="00BA5B8F">
        <w:rPr>
          <w:sz w:val="26"/>
          <w:szCs w:val="26"/>
        </w:rPr>
        <w:t>9</w:t>
      </w:r>
      <w:r>
        <w:rPr>
          <w:sz w:val="26"/>
          <w:szCs w:val="26"/>
        </w:rPr>
        <w:t xml:space="preserve"> отримали паспорти російської федерації, однак наголосила, що розглядає це як </w:t>
      </w:r>
      <w:r w:rsidR="00CD2209">
        <w:rPr>
          <w:sz w:val="26"/>
          <w:szCs w:val="26"/>
        </w:rPr>
        <w:t xml:space="preserve">                   </w:t>
      </w:r>
      <w:r>
        <w:rPr>
          <w:sz w:val="26"/>
          <w:szCs w:val="26"/>
        </w:rPr>
        <w:t>наслідок примусової паспортизації населення на окупованих територіях та результат політики держави-агресора.</w:t>
      </w:r>
    </w:p>
    <w:p w14:paraId="4A63D62D" w14:textId="543D98DA" w:rsidR="00480115" w:rsidRDefault="00E5707B">
      <w:pPr>
        <w:suppressAutoHyphens w:val="0"/>
        <w:spacing w:line="276" w:lineRule="auto"/>
        <w:ind w:firstLine="709"/>
        <w:contextualSpacing/>
        <w:jc w:val="both"/>
        <w:rPr>
          <w:sz w:val="26"/>
          <w:szCs w:val="26"/>
        </w:rPr>
      </w:pPr>
      <w:r w:rsidRPr="00E5707B">
        <w:rPr>
          <w:sz w:val="26"/>
          <w:szCs w:val="26"/>
          <w:lang w:eastAsia="en-US"/>
        </w:rPr>
        <w:t xml:space="preserve">Марченко Н.Ю. </w:t>
      </w:r>
      <w:r w:rsidR="00E45D5E">
        <w:rPr>
          <w:sz w:val="26"/>
          <w:szCs w:val="26"/>
          <w:lang w:eastAsia="en-US"/>
        </w:rPr>
        <w:t xml:space="preserve"> наголосила, що особисто вона не відвідувала тимчасово </w:t>
      </w:r>
      <w:r w:rsidR="00CD2209">
        <w:rPr>
          <w:sz w:val="26"/>
          <w:szCs w:val="26"/>
          <w:lang w:eastAsia="en-US"/>
        </w:rPr>
        <w:t xml:space="preserve">          </w:t>
      </w:r>
      <w:r w:rsidR="00E45D5E">
        <w:rPr>
          <w:sz w:val="26"/>
          <w:szCs w:val="26"/>
          <w:lang w:eastAsia="en-US"/>
        </w:rPr>
        <w:t xml:space="preserve">окуповані території та територію російської федерації після 2014 року. Після </w:t>
      </w:r>
      <w:r w:rsidR="00CD2209">
        <w:rPr>
          <w:sz w:val="26"/>
          <w:szCs w:val="26"/>
          <w:lang w:eastAsia="en-US"/>
        </w:rPr>
        <w:t xml:space="preserve">                  </w:t>
      </w:r>
      <w:r w:rsidR="00E45D5E">
        <w:rPr>
          <w:sz w:val="26"/>
          <w:szCs w:val="26"/>
          <w:lang w:eastAsia="en-US"/>
        </w:rPr>
        <w:t xml:space="preserve">захоплення будівлі суду восени 2014 року виїхала до міста Харків, з 2015 року </w:t>
      </w:r>
      <w:r w:rsidR="00CD2209">
        <w:rPr>
          <w:sz w:val="26"/>
          <w:szCs w:val="26"/>
          <w:lang w:eastAsia="en-US"/>
        </w:rPr>
        <w:t xml:space="preserve">                     </w:t>
      </w:r>
      <w:r w:rsidR="00E45D5E">
        <w:rPr>
          <w:sz w:val="26"/>
          <w:szCs w:val="26"/>
          <w:lang w:eastAsia="en-US"/>
        </w:rPr>
        <w:t>постійно проживає та здійснює правосуддя в місті Дніпро.</w:t>
      </w:r>
    </w:p>
    <w:p w14:paraId="731C6685" w14:textId="1943429F" w:rsidR="00480115" w:rsidRDefault="00E45D5E">
      <w:pPr>
        <w:suppressAutoHyphens w:val="0"/>
        <w:spacing w:line="276" w:lineRule="auto"/>
        <w:ind w:firstLine="709"/>
        <w:contextualSpacing/>
        <w:jc w:val="both"/>
        <w:rPr>
          <w:sz w:val="26"/>
          <w:szCs w:val="26"/>
          <w:lang w:eastAsia="en-US"/>
        </w:rPr>
      </w:pPr>
      <w:r>
        <w:rPr>
          <w:color w:val="000000"/>
          <w:sz w:val="26"/>
          <w:szCs w:val="26"/>
          <w:lang w:eastAsia="en-US"/>
        </w:rPr>
        <w:t xml:space="preserve">З пояснень Марченко Н.Ю. </w:t>
      </w:r>
      <w:r w:rsidR="00E5707B">
        <w:rPr>
          <w:color w:val="000000"/>
          <w:sz w:val="26"/>
          <w:szCs w:val="26"/>
          <w:lang w:eastAsia="en-US"/>
        </w:rPr>
        <w:t>слідує</w:t>
      </w:r>
      <w:r>
        <w:rPr>
          <w:color w:val="000000"/>
          <w:sz w:val="26"/>
          <w:szCs w:val="26"/>
          <w:lang w:eastAsia="en-US"/>
        </w:rPr>
        <w:t xml:space="preserve">, що у 2014 році вона зробила свідомий і </w:t>
      </w:r>
      <w:r w:rsidR="00CD2209">
        <w:rPr>
          <w:color w:val="000000"/>
          <w:sz w:val="26"/>
          <w:szCs w:val="26"/>
          <w:lang w:eastAsia="en-US"/>
        </w:rPr>
        <w:t xml:space="preserve">                    </w:t>
      </w:r>
      <w:r>
        <w:rPr>
          <w:color w:val="000000"/>
          <w:sz w:val="26"/>
          <w:szCs w:val="26"/>
          <w:lang w:eastAsia="en-US"/>
        </w:rPr>
        <w:t xml:space="preserve">чіткий вибір про неможливість проживання на тимчасово окупованій території та </w:t>
      </w:r>
      <w:r w:rsidR="00CD2209">
        <w:rPr>
          <w:color w:val="000000"/>
          <w:sz w:val="26"/>
          <w:szCs w:val="26"/>
          <w:lang w:eastAsia="en-US"/>
        </w:rPr>
        <w:t xml:space="preserve">                 </w:t>
      </w:r>
      <w:r>
        <w:rPr>
          <w:color w:val="000000"/>
          <w:sz w:val="26"/>
          <w:szCs w:val="26"/>
          <w:lang w:eastAsia="en-US"/>
        </w:rPr>
        <w:t xml:space="preserve">подальшу розбудову свого життя і кар’єри на підконтрольній Україні території. </w:t>
      </w:r>
      <w:r w:rsidR="00CD2209">
        <w:rPr>
          <w:color w:val="000000"/>
          <w:sz w:val="26"/>
          <w:szCs w:val="26"/>
          <w:lang w:eastAsia="en-US"/>
        </w:rPr>
        <w:t xml:space="preserve">                   </w:t>
      </w:r>
      <w:r>
        <w:rPr>
          <w:color w:val="000000"/>
          <w:sz w:val="26"/>
          <w:szCs w:val="26"/>
          <w:lang w:eastAsia="en-US"/>
        </w:rPr>
        <w:t xml:space="preserve">Комісією не встановлено фактів відвідування кандидатом тимчасово окупованої </w:t>
      </w:r>
      <w:r w:rsidR="00CD2209">
        <w:rPr>
          <w:color w:val="000000"/>
          <w:sz w:val="26"/>
          <w:szCs w:val="26"/>
          <w:lang w:eastAsia="en-US"/>
        </w:rPr>
        <w:t xml:space="preserve">                  </w:t>
      </w:r>
      <w:r>
        <w:rPr>
          <w:color w:val="000000"/>
          <w:sz w:val="26"/>
          <w:szCs w:val="26"/>
          <w:lang w:eastAsia="en-US"/>
        </w:rPr>
        <w:t>території України.</w:t>
      </w:r>
      <w:r>
        <w:rPr>
          <w:sz w:val="26"/>
          <w:szCs w:val="26"/>
          <w:lang w:eastAsia="en-US"/>
        </w:rPr>
        <w:t xml:space="preserve"> </w:t>
      </w:r>
    </w:p>
    <w:p w14:paraId="2395E4EB" w14:textId="5F4279EC" w:rsidR="00480115" w:rsidRDefault="00E45D5E">
      <w:pPr>
        <w:suppressAutoHyphens w:val="0"/>
        <w:spacing w:line="276" w:lineRule="auto"/>
        <w:ind w:firstLine="709"/>
        <w:contextualSpacing/>
        <w:jc w:val="both"/>
        <w:rPr>
          <w:sz w:val="26"/>
          <w:szCs w:val="26"/>
        </w:rPr>
      </w:pPr>
      <w:r>
        <w:rPr>
          <w:color w:val="000000"/>
          <w:sz w:val="26"/>
          <w:szCs w:val="26"/>
          <w:lang w:eastAsia="en-US"/>
        </w:rPr>
        <w:t xml:space="preserve">Проаналізувавши надані Марченко Н.Ю. письмові пояснення та пояснення, </w:t>
      </w:r>
      <w:r w:rsidR="00CD2209">
        <w:rPr>
          <w:color w:val="000000"/>
          <w:sz w:val="26"/>
          <w:szCs w:val="26"/>
          <w:lang w:eastAsia="en-US"/>
        </w:rPr>
        <w:t xml:space="preserve">                </w:t>
      </w:r>
      <w:r>
        <w:rPr>
          <w:color w:val="000000"/>
          <w:sz w:val="26"/>
          <w:szCs w:val="26"/>
          <w:lang w:eastAsia="en-US"/>
        </w:rPr>
        <w:t xml:space="preserve">надані під час співбесіди, </w:t>
      </w:r>
      <w:r w:rsidR="005A7B85">
        <w:rPr>
          <w:color w:val="000000"/>
          <w:sz w:val="26"/>
          <w:szCs w:val="26"/>
          <w:lang w:eastAsia="en-US"/>
        </w:rPr>
        <w:t>взявши</w:t>
      </w:r>
      <w:r>
        <w:rPr>
          <w:color w:val="000000"/>
          <w:sz w:val="26"/>
          <w:szCs w:val="26"/>
          <w:lang w:eastAsia="en-US"/>
        </w:rPr>
        <w:t xml:space="preserve"> до уваги те, що </w:t>
      </w:r>
      <w:r w:rsidR="00BA5B8F">
        <w:rPr>
          <w:color w:val="000000"/>
          <w:sz w:val="26"/>
          <w:szCs w:val="26"/>
          <w:lang w:eastAsia="en-US"/>
        </w:rPr>
        <w:t>ІНФОРМАЦІЯ_10</w:t>
      </w:r>
      <w:r>
        <w:rPr>
          <w:color w:val="000000"/>
          <w:sz w:val="26"/>
          <w:szCs w:val="26"/>
          <w:lang w:eastAsia="en-US"/>
        </w:rPr>
        <w:t xml:space="preserve"> кандидата не є членами її сім’ї, Комісія дійшла висновку, що вони є достатніми, а обставини</w:t>
      </w:r>
      <w:r w:rsidR="00E16853">
        <w:rPr>
          <w:color w:val="000000"/>
          <w:sz w:val="26"/>
          <w:szCs w:val="26"/>
          <w:lang w:eastAsia="en-US"/>
        </w:rPr>
        <w:t>,</w:t>
      </w:r>
      <w:r>
        <w:rPr>
          <w:color w:val="000000"/>
          <w:sz w:val="26"/>
          <w:szCs w:val="26"/>
          <w:lang w:eastAsia="en-US"/>
        </w:rPr>
        <w:t xml:space="preserve"> </w:t>
      </w:r>
      <w:r w:rsidR="005F615D">
        <w:rPr>
          <w:color w:val="000000"/>
          <w:sz w:val="26"/>
          <w:szCs w:val="26"/>
          <w:lang w:eastAsia="en-US"/>
        </w:rPr>
        <w:br/>
      </w:r>
      <w:r>
        <w:rPr>
          <w:color w:val="000000"/>
          <w:sz w:val="26"/>
          <w:szCs w:val="26"/>
          <w:lang w:eastAsia="en-US"/>
        </w:rPr>
        <w:lastRenderedPageBreak/>
        <w:t>викладені ГРД</w:t>
      </w:r>
      <w:r w:rsidR="00E16853">
        <w:rPr>
          <w:color w:val="000000"/>
          <w:sz w:val="26"/>
          <w:szCs w:val="26"/>
          <w:lang w:eastAsia="en-US"/>
        </w:rPr>
        <w:t>,</w:t>
      </w:r>
      <w:r>
        <w:rPr>
          <w:color w:val="000000"/>
          <w:sz w:val="26"/>
          <w:szCs w:val="26"/>
          <w:lang w:eastAsia="en-US"/>
        </w:rPr>
        <w:t xml:space="preserve"> такими, що не свідчать </w:t>
      </w:r>
      <w:r>
        <w:rPr>
          <w:color w:val="000000"/>
          <w:sz w:val="26"/>
          <w:szCs w:val="26"/>
        </w:rPr>
        <w:t xml:space="preserve">про невідповідність </w:t>
      </w:r>
      <w:r w:rsidR="005F615D">
        <w:rPr>
          <w:color w:val="000000"/>
          <w:sz w:val="26"/>
          <w:szCs w:val="26"/>
        </w:rPr>
        <w:t xml:space="preserve">кандидата </w:t>
      </w:r>
      <w:r>
        <w:rPr>
          <w:color w:val="000000"/>
          <w:sz w:val="26"/>
          <w:szCs w:val="26"/>
        </w:rPr>
        <w:t xml:space="preserve">критеріям </w:t>
      </w:r>
      <w:r w:rsidR="00CD2209">
        <w:rPr>
          <w:color w:val="000000"/>
          <w:sz w:val="26"/>
          <w:szCs w:val="26"/>
        </w:rPr>
        <w:t xml:space="preserve">           </w:t>
      </w:r>
      <w:r>
        <w:rPr>
          <w:color w:val="000000"/>
          <w:sz w:val="26"/>
          <w:szCs w:val="26"/>
        </w:rPr>
        <w:t>доброчесності та професійної етики. </w:t>
      </w:r>
      <w:r>
        <w:rPr>
          <w:sz w:val="26"/>
          <w:szCs w:val="26"/>
        </w:rPr>
        <w:t xml:space="preserve"> </w:t>
      </w:r>
    </w:p>
    <w:p w14:paraId="487BD4BA" w14:textId="77777777" w:rsidR="007C679F" w:rsidRDefault="007C679F">
      <w:pPr>
        <w:suppressAutoHyphens w:val="0"/>
        <w:spacing w:line="276" w:lineRule="auto"/>
        <w:ind w:firstLine="709"/>
        <w:contextualSpacing/>
        <w:jc w:val="both"/>
        <w:rPr>
          <w:sz w:val="26"/>
          <w:szCs w:val="26"/>
        </w:rPr>
      </w:pPr>
    </w:p>
    <w:p w14:paraId="519CB6BD" w14:textId="77777777" w:rsidR="00480115" w:rsidRDefault="00E45D5E">
      <w:pPr>
        <w:spacing w:line="276" w:lineRule="auto"/>
        <w:ind w:firstLine="709"/>
        <w:contextualSpacing/>
        <w:jc w:val="both"/>
        <w:rPr>
          <w:b/>
          <w:sz w:val="26"/>
          <w:szCs w:val="26"/>
        </w:rPr>
      </w:pPr>
      <w:r>
        <w:rPr>
          <w:b/>
          <w:sz w:val="26"/>
          <w:szCs w:val="26"/>
        </w:rPr>
        <w:t>Водночас Комісією встановлено інші обставини, які не можуть бути залишені поза увагою.</w:t>
      </w:r>
    </w:p>
    <w:p w14:paraId="041B6255" w14:textId="77777777" w:rsidR="00480115" w:rsidRDefault="00E45D5E">
      <w:pPr>
        <w:spacing w:line="276" w:lineRule="auto"/>
        <w:ind w:firstLine="709"/>
        <w:contextualSpacing/>
        <w:jc w:val="both"/>
        <w:rPr>
          <w:sz w:val="26"/>
          <w:szCs w:val="26"/>
        </w:rPr>
      </w:pPr>
      <w:r>
        <w:rPr>
          <w:iCs/>
          <w:sz w:val="26"/>
          <w:szCs w:val="26"/>
        </w:rPr>
        <w:t>Пунктом 8 розділу ІІ Єдиних показників передбачено, що під час оцінювання відповідності судді (кандидата на посаду судді) Показникам використовуються інформаційні та довідкові системи, реєстри, бази даних та інші джерела інформації, зокрема суддівське досьє (досьє кандидата), та декларації особи, уповноваженої на виконання функцій держави або місцевого самоврядування, подані відповідно до Закону України «Про запобігання корупції». Інформація, джерела походження якої установити неможливо, не має доказової сили під час оцінювання відповідності судді (кандидата на посаду судді) Показникам. Таку інформацію може перевірити суб’єкт оцінювання. Анонімні повідомлення не розглядаються.</w:t>
      </w:r>
    </w:p>
    <w:p w14:paraId="2997F90C" w14:textId="40C32663" w:rsidR="00480115" w:rsidRDefault="00E45D5E">
      <w:pPr>
        <w:spacing w:line="276" w:lineRule="auto"/>
        <w:ind w:firstLine="709"/>
        <w:contextualSpacing/>
        <w:jc w:val="both"/>
        <w:rPr>
          <w:iCs/>
          <w:sz w:val="26"/>
          <w:szCs w:val="26"/>
        </w:rPr>
      </w:pPr>
      <w:r>
        <w:rPr>
          <w:iCs/>
          <w:sz w:val="26"/>
          <w:szCs w:val="26"/>
        </w:rPr>
        <w:t xml:space="preserve">1. До матеріалів досьє кандидата долучений договір уступки пайової участі </w:t>
      </w:r>
      <w:r w:rsidR="005F615D">
        <w:rPr>
          <w:iCs/>
          <w:sz w:val="26"/>
          <w:szCs w:val="26"/>
        </w:rPr>
        <w:t>в</w:t>
      </w:r>
      <w:r>
        <w:rPr>
          <w:iCs/>
          <w:sz w:val="26"/>
          <w:szCs w:val="26"/>
        </w:rPr>
        <w:t xml:space="preserve"> будівництві від 30 грудня 2020 року № 4</w:t>
      </w:r>
      <w:r w:rsidR="00565127">
        <w:rPr>
          <w:iCs/>
          <w:sz w:val="26"/>
          <w:szCs w:val="26"/>
        </w:rPr>
        <w:t>65/20М (далі –</w:t>
      </w:r>
      <w:r>
        <w:rPr>
          <w:iCs/>
          <w:sz w:val="26"/>
          <w:szCs w:val="26"/>
        </w:rPr>
        <w:t xml:space="preserve"> Договір), підпунктом 2.1 пункту 2 якого передбачено, що продавець відступає, а покупець (Марченко Н.Ю.) </w:t>
      </w:r>
      <w:r w:rsidRPr="00B410B6">
        <w:rPr>
          <w:iCs/>
          <w:sz w:val="26"/>
          <w:szCs w:val="26"/>
        </w:rPr>
        <w:t>приймає на себе майнові права</w:t>
      </w:r>
      <w:r>
        <w:rPr>
          <w:iCs/>
          <w:sz w:val="26"/>
          <w:szCs w:val="26"/>
        </w:rPr>
        <w:t xml:space="preserve"> на об’єкт нерухомості </w:t>
      </w:r>
      <w:r w:rsidR="00565127">
        <w:rPr>
          <w:iCs/>
          <w:sz w:val="26"/>
          <w:szCs w:val="26"/>
        </w:rPr>
        <w:t>в</w:t>
      </w:r>
      <w:r>
        <w:rPr>
          <w:iCs/>
          <w:sz w:val="26"/>
          <w:szCs w:val="26"/>
        </w:rPr>
        <w:t xml:space="preserve"> порядку та на умовах, передбачених цим договором, а також права та обов’язки асоцій</w:t>
      </w:r>
      <w:r w:rsidR="00565127">
        <w:rPr>
          <w:iCs/>
          <w:sz w:val="26"/>
          <w:szCs w:val="26"/>
        </w:rPr>
        <w:t>ованого члена к</w:t>
      </w:r>
      <w:r>
        <w:rPr>
          <w:iCs/>
          <w:sz w:val="26"/>
          <w:szCs w:val="26"/>
        </w:rPr>
        <w:t>ооперативу.</w:t>
      </w:r>
    </w:p>
    <w:p w14:paraId="463A149B" w14:textId="77777777" w:rsidR="00A47EF8" w:rsidRDefault="00A47EF8">
      <w:pPr>
        <w:spacing w:line="276" w:lineRule="auto"/>
        <w:ind w:firstLine="709"/>
        <w:contextualSpacing/>
        <w:jc w:val="both"/>
        <w:rPr>
          <w:iCs/>
          <w:sz w:val="26"/>
          <w:szCs w:val="26"/>
        </w:rPr>
      </w:pPr>
      <w:r>
        <w:rPr>
          <w:iCs/>
          <w:sz w:val="26"/>
          <w:szCs w:val="26"/>
        </w:rPr>
        <w:t>Майнові права – права покупця на отримання у власність об’єкта нерухомості</w:t>
      </w:r>
      <w:r w:rsidR="00851A58">
        <w:rPr>
          <w:iCs/>
          <w:sz w:val="26"/>
          <w:szCs w:val="26"/>
        </w:rPr>
        <w:t xml:space="preserve"> після сплати паю та введення об’єкта будівництва </w:t>
      </w:r>
      <w:r w:rsidR="003D2D54">
        <w:rPr>
          <w:iCs/>
          <w:sz w:val="26"/>
          <w:szCs w:val="26"/>
        </w:rPr>
        <w:t xml:space="preserve">в експлуатацію (підпункт 1.8 пункту 1 Договору). </w:t>
      </w:r>
      <w:r>
        <w:rPr>
          <w:iCs/>
          <w:sz w:val="26"/>
          <w:szCs w:val="26"/>
        </w:rPr>
        <w:t xml:space="preserve"> </w:t>
      </w:r>
    </w:p>
    <w:p w14:paraId="3D355095" w14:textId="535374DA" w:rsidR="001C10C7" w:rsidRDefault="001C10C7">
      <w:pPr>
        <w:spacing w:line="276" w:lineRule="auto"/>
        <w:ind w:firstLine="709"/>
        <w:contextualSpacing/>
        <w:jc w:val="both"/>
        <w:rPr>
          <w:iCs/>
          <w:sz w:val="26"/>
          <w:szCs w:val="26"/>
        </w:rPr>
      </w:pPr>
      <w:r>
        <w:rPr>
          <w:iCs/>
          <w:sz w:val="26"/>
          <w:szCs w:val="26"/>
        </w:rPr>
        <w:t>Відповідно до</w:t>
      </w:r>
      <w:r w:rsidRPr="001C10C7">
        <w:t xml:space="preserve"> </w:t>
      </w:r>
      <w:r w:rsidRPr="001C10C7">
        <w:rPr>
          <w:iCs/>
          <w:sz w:val="26"/>
          <w:szCs w:val="26"/>
        </w:rPr>
        <w:t xml:space="preserve">підпункту </w:t>
      </w:r>
      <w:r>
        <w:rPr>
          <w:iCs/>
          <w:sz w:val="26"/>
          <w:szCs w:val="26"/>
        </w:rPr>
        <w:t>2.3 пункту 2</w:t>
      </w:r>
      <w:r w:rsidRPr="001C10C7">
        <w:rPr>
          <w:iCs/>
          <w:sz w:val="26"/>
          <w:szCs w:val="26"/>
        </w:rPr>
        <w:t xml:space="preserve"> Договору</w:t>
      </w:r>
      <w:r>
        <w:rPr>
          <w:iCs/>
          <w:sz w:val="26"/>
          <w:szCs w:val="26"/>
        </w:rPr>
        <w:t xml:space="preserve"> сторони домовились, що об’єктом нерухомості, майнові права на який передаються за даним договором</w:t>
      </w:r>
      <w:r w:rsidR="003D2D54">
        <w:rPr>
          <w:iCs/>
          <w:sz w:val="26"/>
          <w:szCs w:val="26"/>
        </w:rPr>
        <w:t>,</w:t>
      </w:r>
      <w:r>
        <w:rPr>
          <w:iCs/>
          <w:sz w:val="26"/>
          <w:szCs w:val="26"/>
        </w:rPr>
        <w:t xml:space="preserve"> є квартира </w:t>
      </w:r>
      <w:r w:rsidR="00565127">
        <w:rPr>
          <w:iCs/>
          <w:sz w:val="26"/>
          <w:szCs w:val="26"/>
        </w:rPr>
        <w:t>проє</w:t>
      </w:r>
      <w:r w:rsidR="001770C0">
        <w:rPr>
          <w:iCs/>
          <w:sz w:val="26"/>
          <w:szCs w:val="26"/>
        </w:rPr>
        <w:t>ктною площею 44,4 кв.м</w:t>
      </w:r>
      <w:r w:rsidR="003D2D54">
        <w:rPr>
          <w:iCs/>
          <w:sz w:val="26"/>
          <w:szCs w:val="26"/>
        </w:rPr>
        <w:t>.</w:t>
      </w:r>
    </w:p>
    <w:p w14:paraId="475D09C1" w14:textId="03A6EA22" w:rsidR="00480115" w:rsidRDefault="00BE4754">
      <w:pPr>
        <w:spacing w:line="276" w:lineRule="auto"/>
        <w:ind w:firstLine="709"/>
        <w:contextualSpacing/>
        <w:jc w:val="both"/>
        <w:rPr>
          <w:iCs/>
          <w:sz w:val="26"/>
          <w:szCs w:val="26"/>
        </w:rPr>
      </w:pPr>
      <w:r>
        <w:rPr>
          <w:iCs/>
          <w:sz w:val="26"/>
          <w:szCs w:val="26"/>
        </w:rPr>
        <w:t>Згідно з</w:t>
      </w:r>
      <w:r w:rsidR="00E45D5E">
        <w:rPr>
          <w:iCs/>
          <w:sz w:val="26"/>
          <w:szCs w:val="26"/>
        </w:rPr>
        <w:t xml:space="preserve"> підпункт</w:t>
      </w:r>
      <w:r>
        <w:rPr>
          <w:iCs/>
          <w:sz w:val="26"/>
          <w:szCs w:val="26"/>
        </w:rPr>
        <w:t>ом</w:t>
      </w:r>
      <w:r w:rsidR="00E45D5E">
        <w:rPr>
          <w:iCs/>
          <w:sz w:val="26"/>
          <w:szCs w:val="26"/>
        </w:rPr>
        <w:t xml:space="preserve"> 5.1 пункту 5 Договору продавець зобов’язаний приймати оплату договірної ціни, що здійснюється в порядку т</w:t>
      </w:r>
      <w:r w:rsidR="00EB454B">
        <w:rPr>
          <w:iCs/>
          <w:sz w:val="26"/>
          <w:szCs w:val="26"/>
        </w:rPr>
        <w:t xml:space="preserve">а на умовах даного договору. </w:t>
      </w:r>
      <w:r w:rsidR="00E45D5E">
        <w:rPr>
          <w:iCs/>
          <w:sz w:val="26"/>
          <w:szCs w:val="26"/>
        </w:rPr>
        <w:t xml:space="preserve">Додатком 1 до Договору передбачений порядок сплати договірної ціни в якому вказано, що покупець сплачує договірну ціну передбаченим законодавством шляхом у наступному порядку: 30 грудня 2020 року 399 600 грн; з 23 січня до 23 жовтня </w:t>
      </w:r>
      <w:r w:rsidR="00CD2209">
        <w:rPr>
          <w:iCs/>
          <w:sz w:val="26"/>
          <w:szCs w:val="26"/>
        </w:rPr>
        <w:t xml:space="preserve">                    </w:t>
      </w:r>
      <w:r w:rsidR="00E45D5E">
        <w:rPr>
          <w:iCs/>
          <w:sz w:val="26"/>
          <w:szCs w:val="26"/>
        </w:rPr>
        <w:t>2021 року 36 320 грн</w:t>
      </w:r>
      <w:r w:rsidR="003B7160">
        <w:rPr>
          <w:iCs/>
          <w:sz w:val="26"/>
          <w:szCs w:val="26"/>
        </w:rPr>
        <w:t xml:space="preserve"> (щомісячно)</w:t>
      </w:r>
      <w:r w:rsidR="00E45D5E">
        <w:rPr>
          <w:iCs/>
          <w:sz w:val="26"/>
          <w:szCs w:val="26"/>
        </w:rPr>
        <w:t xml:space="preserve">; 23 листопада 2021 року 36 400 грн. Даний додаток вступає в силу з моменту підписання і є чинним протягом дії основного Договору. </w:t>
      </w:r>
    </w:p>
    <w:p w14:paraId="574BFFDD" w14:textId="77777777" w:rsidR="00F824E7" w:rsidRPr="00B410B6" w:rsidRDefault="00EA3A9F">
      <w:pPr>
        <w:spacing w:line="276" w:lineRule="auto"/>
        <w:ind w:firstLine="709"/>
        <w:contextualSpacing/>
        <w:jc w:val="both"/>
        <w:rPr>
          <w:iCs/>
          <w:sz w:val="26"/>
          <w:szCs w:val="26"/>
        </w:rPr>
      </w:pPr>
      <w:r>
        <w:rPr>
          <w:iCs/>
          <w:sz w:val="26"/>
          <w:szCs w:val="26"/>
        </w:rPr>
        <w:t>У пункті 88</w:t>
      </w:r>
      <w:r w:rsidR="00FC6154">
        <w:rPr>
          <w:iCs/>
          <w:sz w:val="26"/>
          <w:szCs w:val="26"/>
        </w:rPr>
        <w:t xml:space="preserve"> </w:t>
      </w:r>
      <w:r w:rsidR="00745A5E">
        <w:rPr>
          <w:iCs/>
          <w:sz w:val="26"/>
          <w:szCs w:val="26"/>
        </w:rPr>
        <w:t>роз’яснень</w:t>
      </w:r>
      <w:r w:rsidR="00FC6154">
        <w:rPr>
          <w:iCs/>
          <w:sz w:val="26"/>
          <w:szCs w:val="26"/>
        </w:rPr>
        <w:t xml:space="preserve"> НАЗК від 03 лютого 202</w:t>
      </w:r>
      <w:r w:rsidR="00745A5E">
        <w:rPr>
          <w:iCs/>
          <w:sz w:val="26"/>
          <w:szCs w:val="26"/>
        </w:rPr>
        <w:t>1</w:t>
      </w:r>
      <w:r w:rsidR="00FC6154">
        <w:rPr>
          <w:iCs/>
          <w:sz w:val="26"/>
          <w:szCs w:val="26"/>
        </w:rPr>
        <w:t xml:space="preserve"> року №</w:t>
      </w:r>
      <w:r w:rsidR="00AA7AF3">
        <w:rPr>
          <w:iCs/>
          <w:sz w:val="26"/>
          <w:szCs w:val="26"/>
        </w:rPr>
        <w:t xml:space="preserve"> 1</w:t>
      </w:r>
      <w:r w:rsidR="00FC6154">
        <w:rPr>
          <w:iCs/>
          <w:sz w:val="26"/>
          <w:szCs w:val="26"/>
        </w:rPr>
        <w:t xml:space="preserve"> </w:t>
      </w:r>
      <w:r w:rsidR="00AA7AF3">
        <w:rPr>
          <w:iCs/>
          <w:sz w:val="26"/>
          <w:szCs w:val="26"/>
        </w:rPr>
        <w:t>«Щ</w:t>
      </w:r>
      <w:r w:rsidR="00FC6154" w:rsidRPr="00FC6154">
        <w:rPr>
          <w:iCs/>
          <w:sz w:val="26"/>
          <w:szCs w:val="26"/>
        </w:rPr>
        <w:t>одо застосування окремих положень Закону України «Про запобігання корупції» стосовно заходів фінансового контролю (подання декларацій та повідомлень про суттєві зміни в майновому стані)</w:t>
      </w:r>
      <w:r w:rsidR="00AA7AF3">
        <w:rPr>
          <w:iCs/>
          <w:sz w:val="26"/>
          <w:szCs w:val="26"/>
        </w:rPr>
        <w:t xml:space="preserve">» </w:t>
      </w:r>
      <w:r>
        <w:rPr>
          <w:iCs/>
          <w:sz w:val="26"/>
          <w:szCs w:val="26"/>
        </w:rPr>
        <w:t>надано відповідь на питання «</w:t>
      </w:r>
      <w:r w:rsidR="00F824E7" w:rsidRPr="00F824E7">
        <w:rPr>
          <w:iCs/>
          <w:sz w:val="26"/>
          <w:szCs w:val="26"/>
        </w:rPr>
        <w:t>Як у декларації відобразити інформацію про набуті майнові права на об’єкт, що будується у бага</w:t>
      </w:r>
      <w:r>
        <w:rPr>
          <w:iCs/>
          <w:sz w:val="26"/>
          <w:szCs w:val="26"/>
        </w:rPr>
        <w:t>токвартирному будинку?»</w:t>
      </w:r>
      <w:r w:rsidR="003C6951">
        <w:rPr>
          <w:iCs/>
          <w:sz w:val="26"/>
          <w:szCs w:val="26"/>
        </w:rPr>
        <w:t>: «</w:t>
      </w:r>
      <w:r w:rsidR="00F824E7" w:rsidRPr="00F824E7">
        <w:rPr>
          <w:iCs/>
          <w:sz w:val="26"/>
          <w:szCs w:val="26"/>
        </w:rPr>
        <w:t xml:space="preserve">У розділі 4 «Об’єкти незавершеного будівництва» декларації слід вказати відомості про об’єкт – квартиру, що будується в багатоквартирному будинку, будівництво якої здійснюється не самим суб’єктом декларування або членом його </w:t>
      </w:r>
      <w:r w:rsidR="00F824E7" w:rsidRPr="00F824E7">
        <w:rPr>
          <w:iCs/>
          <w:sz w:val="26"/>
          <w:szCs w:val="26"/>
        </w:rPr>
        <w:lastRenderedPageBreak/>
        <w:t xml:space="preserve">сім’ї, а, наприклад, забудовником, при цьому суб’єкт декларування або член його сім’ї </w:t>
      </w:r>
      <w:r w:rsidR="00F824E7" w:rsidRPr="00B410B6">
        <w:rPr>
          <w:iCs/>
          <w:sz w:val="26"/>
          <w:szCs w:val="26"/>
        </w:rPr>
        <w:t xml:space="preserve">набувають майнові права на такий об’єкт. </w:t>
      </w:r>
    </w:p>
    <w:p w14:paraId="19A39775" w14:textId="77777777" w:rsidR="00FA6BAD" w:rsidRDefault="00F824E7">
      <w:pPr>
        <w:spacing w:line="276" w:lineRule="auto"/>
        <w:ind w:firstLine="709"/>
        <w:contextualSpacing/>
        <w:jc w:val="both"/>
        <w:rPr>
          <w:iCs/>
          <w:sz w:val="26"/>
          <w:szCs w:val="26"/>
        </w:rPr>
      </w:pPr>
      <w:r w:rsidRPr="00F824E7">
        <w:rPr>
          <w:iCs/>
          <w:sz w:val="26"/>
          <w:szCs w:val="26"/>
        </w:rPr>
        <w:t xml:space="preserve">Як правило, набуття майнових прав на квартиру, що будується у багатоквартирному будинку, реалізується через укладення договорів про участь у фонді фінансування будівництва, передбачених положеннями Закону України «Про фінансово-кредитні механізми і управління майном при будівництві житла та операціях з нерухомістю». </w:t>
      </w:r>
    </w:p>
    <w:p w14:paraId="33F612A3" w14:textId="4B6256A9" w:rsidR="00F824E7" w:rsidRDefault="00F824E7">
      <w:pPr>
        <w:spacing w:line="276" w:lineRule="auto"/>
        <w:ind w:firstLine="709"/>
        <w:contextualSpacing/>
        <w:jc w:val="both"/>
        <w:rPr>
          <w:iCs/>
          <w:sz w:val="26"/>
          <w:szCs w:val="26"/>
        </w:rPr>
      </w:pPr>
      <w:r w:rsidRPr="00F824E7">
        <w:rPr>
          <w:iCs/>
          <w:sz w:val="26"/>
          <w:szCs w:val="26"/>
        </w:rPr>
        <w:t xml:space="preserve">При цьому предметом таких договорів обов’язково мають </w:t>
      </w:r>
      <w:r w:rsidRPr="00B410B6">
        <w:rPr>
          <w:iCs/>
          <w:sz w:val="26"/>
          <w:szCs w:val="26"/>
        </w:rPr>
        <w:t>бути майнові права на об’єкт, що будується (квартиру).</w:t>
      </w:r>
      <w:r w:rsidRPr="00F824E7">
        <w:rPr>
          <w:iCs/>
          <w:sz w:val="26"/>
          <w:szCs w:val="26"/>
        </w:rPr>
        <w:t xml:space="preserve"> Майном як особливим об’єктом вважаються окремі речі, сукупність речей, а тако</w:t>
      </w:r>
      <w:r w:rsidR="00AC5B3A">
        <w:rPr>
          <w:iCs/>
          <w:sz w:val="26"/>
          <w:szCs w:val="26"/>
        </w:rPr>
        <w:t>ж майнові права та обов’язки (частина перша</w:t>
      </w:r>
      <w:r w:rsidRPr="00F824E7">
        <w:rPr>
          <w:iCs/>
          <w:sz w:val="26"/>
          <w:szCs w:val="26"/>
        </w:rPr>
        <w:t xml:space="preserve"> ст</w:t>
      </w:r>
      <w:r w:rsidR="00AC5B3A">
        <w:rPr>
          <w:iCs/>
          <w:sz w:val="26"/>
          <w:szCs w:val="26"/>
        </w:rPr>
        <w:t>атті</w:t>
      </w:r>
      <w:r w:rsidRPr="00F824E7">
        <w:rPr>
          <w:iCs/>
          <w:sz w:val="26"/>
          <w:szCs w:val="26"/>
        </w:rPr>
        <w:t xml:space="preserve"> 190 Ц</w:t>
      </w:r>
      <w:r w:rsidR="00AC5B3A">
        <w:rPr>
          <w:iCs/>
          <w:sz w:val="26"/>
          <w:szCs w:val="26"/>
        </w:rPr>
        <w:t>ивільного кодексу</w:t>
      </w:r>
      <w:r w:rsidRPr="00F824E7">
        <w:rPr>
          <w:iCs/>
          <w:sz w:val="26"/>
          <w:szCs w:val="26"/>
        </w:rPr>
        <w:t xml:space="preserve"> України).</w:t>
      </w:r>
    </w:p>
    <w:p w14:paraId="0235B45C" w14:textId="77777777" w:rsidR="00FA6BAD" w:rsidRDefault="00FA6BAD">
      <w:pPr>
        <w:spacing w:line="276" w:lineRule="auto"/>
        <w:ind w:firstLine="709"/>
        <w:contextualSpacing/>
        <w:jc w:val="both"/>
        <w:rPr>
          <w:iCs/>
          <w:sz w:val="26"/>
          <w:szCs w:val="26"/>
        </w:rPr>
      </w:pPr>
      <w:r w:rsidRPr="00FA6BAD">
        <w:rPr>
          <w:iCs/>
          <w:sz w:val="26"/>
          <w:szCs w:val="26"/>
        </w:rPr>
        <w:t xml:space="preserve">Майновими правами є будь-які права, пов’язані з майном, відмінні від права власності, у тому числі права, які є складовою частиною права власності (права володіння, розпорядження, користування), а також інші специфічні права та право вимоги. </w:t>
      </w:r>
    </w:p>
    <w:p w14:paraId="6154E94A" w14:textId="77777777" w:rsidR="00FA6BAD" w:rsidRDefault="00FA6BAD">
      <w:pPr>
        <w:spacing w:line="276" w:lineRule="auto"/>
        <w:ind w:firstLine="709"/>
        <w:contextualSpacing/>
        <w:jc w:val="both"/>
        <w:rPr>
          <w:iCs/>
          <w:sz w:val="26"/>
          <w:szCs w:val="26"/>
        </w:rPr>
      </w:pPr>
      <w:r w:rsidRPr="00FA6BAD">
        <w:rPr>
          <w:iCs/>
          <w:sz w:val="26"/>
          <w:szCs w:val="26"/>
        </w:rPr>
        <w:t xml:space="preserve">У такому випадку в розділі 4 «Об’єкти незавершеного будівництва» декларації слід відобразити інформацію щодо: виду об’єкта (квартира); загальної площі об’єкта (якщо відома); обрати позначки, що є актуальними для об’єкта станом на останній день звітного періоду: «Об’єкт незавершеного будівництва», «Об’єкт, не прийнятий в експлуатацію», «Об’єкт, право власності на який не зареєстроване в установленому законом порядку»; місцезнаходження об’єкта; обрати позначку, що «Об’єкт повністю або частково побудований з матеріалів чи за кошти суб’єкта декларування або членів його сім’ї»; зазначити, кого стосується цей об’єкт – суб’єкта декларування або члена його сім’ї. </w:t>
      </w:r>
    </w:p>
    <w:p w14:paraId="11869ABF" w14:textId="77777777" w:rsidR="00FA6BAD" w:rsidRDefault="00FA6BAD">
      <w:pPr>
        <w:spacing w:line="276" w:lineRule="auto"/>
        <w:ind w:firstLine="709"/>
        <w:contextualSpacing/>
        <w:jc w:val="both"/>
        <w:rPr>
          <w:iCs/>
          <w:sz w:val="26"/>
          <w:szCs w:val="26"/>
        </w:rPr>
      </w:pPr>
      <w:r w:rsidRPr="00FA6BAD">
        <w:rPr>
          <w:iCs/>
          <w:sz w:val="26"/>
          <w:szCs w:val="26"/>
        </w:rPr>
        <w:t xml:space="preserve">У полі «Реєстраційний номер» вказати номер (якщо відомо). Якщо державна реєстрація права на об’єкт не здійснювалась, у полі «Реєстраційний номер» слід обрати позначку «Не застосовується». </w:t>
      </w:r>
    </w:p>
    <w:p w14:paraId="73EB5A37" w14:textId="05F6673C" w:rsidR="00FA6BAD" w:rsidRDefault="00FA6BAD">
      <w:pPr>
        <w:spacing w:line="276" w:lineRule="auto"/>
        <w:ind w:firstLine="709"/>
        <w:contextualSpacing/>
        <w:jc w:val="both"/>
        <w:rPr>
          <w:iCs/>
          <w:sz w:val="26"/>
          <w:szCs w:val="26"/>
        </w:rPr>
      </w:pPr>
      <w:r w:rsidRPr="00FA6BAD">
        <w:rPr>
          <w:iCs/>
          <w:sz w:val="26"/>
          <w:szCs w:val="26"/>
        </w:rPr>
        <w:t>Якщо відомості про власника або користувача земельної ділянки, на як</w:t>
      </w:r>
      <w:r w:rsidR="003F1F4B">
        <w:rPr>
          <w:iCs/>
          <w:sz w:val="26"/>
          <w:szCs w:val="26"/>
        </w:rPr>
        <w:t>ій здійснюється будівництво, не</w:t>
      </w:r>
      <w:r w:rsidRPr="00FA6BAD">
        <w:rPr>
          <w:iCs/>
          <w:sz w:val="26"/>
          <w:szCs w:val="26"/>
        </w:rPr>
        <w:t xml:space="preserve">відомі, у блоці полів «Права на земельну ділянку, на якій здійснюється будівництво» слід обрати позначку «Не застосовується». </w:t>
      </w:r>
    </w:p>
    <w:p w14:paraId="26F0DF1A" w14:textId="77777777" w:rsidR="00042C88" w:rsidRDefault="00FA6BAD">
      <w:pPr>
        <w:spacing w:line="276" w:lineRule="auto"/>
        <w:ind w:firstLine="709"/>
        <w:contextualSpacing/>
        <w:jc w:val="both"/>
        <w:rPr>
          <w:iCs/>
          <w:sz w:val="26"/>
          <w:szCs w:val="26"/>
        </w:rPr>
      </w:pPr>
      <w:r w:rsidRPr="00FA6BAD">
        <w:rPr>
          <w:iCs/>
          <w:sz w:val="26"/>
          <w:szCs w:val="26"/>
        </w:rPr>
        <w:t>Кошти у фонд фінансування будівництва передаються довірителем (суб’єктом декларування або членом його сім’ї) управителю в управління на праві довірчої власності, тобто залишаються у власності суб’єкта декларування або</w:t>
      </w:r>
      <w:r w:rsidR="00042C88">
        <w:rPr>
          <w:iCs/>
          <w:sz w:val="26"/>
          <w:szCs w:val="26"/>
        </w:rPr>
        <w:t xml:space="preserve"> </w:t>
      </w:r>
      <w:r w:rsidR="00042C88" w:rsidRPr="00042C88">
        <w:rPr>
          <w:iCs/>
          <w:sz w:val="26"/>
          <w:szCs w:val="26"/>
        </w:rPr>
        <w:t>члена його сім’ї (абз. 3, 12, 16 ст. 2, ч. 2 ст. 3, ч. 1 ст. 7 Закону України «Про фінансово-кредитні механізми і управління майном при будівництві житла та операціях з нерухомістю»).</w:t>
      </w:r>
    </w:p>
    <w:p w14:paraId="01ABAA50" w14:textId="77777777" w:rsidR="00042C88" w:rsidRDefault="00042C88">
      <w:pPr>
        <w:spacing w:line="276" w:lineRule="auto"/>
        <w:ind w:firstLine="709"/>
        <w:contextualSpacing/>
        <w:jc w:val="both"/>
        <w:rPr>
          <w:iCs/>
          <w:sz w:val="26"/>
          <w:szCs w:val="26"/>
        </w:rPr>
      </w:pPr>
      <w:r w:rsidRPr="00042C88">
        <w:rPr>
          <w:iCs/>
          <w:sz w:val="26"/>
          <w:szCs w:val="26"/>
        </w:rPr>
        <w:t>Якщо суб’єкт декларування або члени його сім’ї на виконання умов договору перерахували кошти управителю у фонд фінансування будівництва або як гарантійний внесок, такі кошти є грошовими активами суб’єкта декларування або членів його сім’ї та мають бути відображені у розділі 12 «Грошові активи» декларації (за умови перевищення порогу декларування, див. відповідь на запитання 139 цих Роз’яснень).</w:t>
      </w:r>
    </w:p>
    <w:p w14:paraId="31B16594" w14:textId="77777777" w:rsidR="00042C88" w:rsidRDefault="00042C88">
      <w:pPr>
        <w:spacing w:line="276" w:lineRule="auto"/>
        <w:ind w:firstLine="709"/>
        <w:contextualSpacing/>
        <w:jc w:val="both"/>
        <w:rPr>
          <w:iCs/>
          <w:sz w:val="26"/>
          <w:szCs w:val="26"/>
        </w:rPr>
      </w:pPr>
      <w:r w:rsidRPr="00042C88">
        <w:rPr>
          <w:iCs/>
          <w:sz w:val="26"/>
          <w:szCs w:val="26"/>
        </w:rPr>
        <w:lastRenderedPageBreak/>
        <w:t xml:space="preserve">Якщо на ім’я суб’єкта декларування або члена його сім’ї управитель відкрив банківський рахунок, на якому розміщуються ці кошти, – у розділі 12.1 «Банківські та інші фінансові установи, у яких відкрито рахунки суб’єкта декларування або членів його сім’ї» декларації також зазначаються відомості про такий рахунок. </w:t>
      </w:r>
    </w:p>
    <w:p w14:paraId="7D92A02D" w14:textId="3AFE18D3" w:rsidR="00042C88" w:rsidRDefault="00042C88">
      <w:pPr>
        <w:spacing w:line="276" w:lineRule="auto"/>
        <w:ind w:firstLine="709"/>
        <w:contextualSpacing/>
        <w:jc w:val="both"/>
        <w:rPr>
          <w:iCs/>
          <w:sz w:val="26"/>
          <w:szCs w:val="26"/>
        </w:rPr>
      </w:pPr>
      <w:r w:rsidRPr="00042C88">
        <w:rPr>
          <w:iCs/>
          <w:sz w:val="26"/>
          <w:szCs w:val="26"/>
        </w:rPr>
        <w:t>Якщо у суб’єкта декларування або члена його сім’ї відповідно до умов договору на кінець звітного періоду наявне фінансове зобов’язання, розмір якого перевищує 50 ПМ (грошові кошти або їх частина не були перераховані), то відомості про таке зобов’язання відображаються у розділі 13 «Фінансові зобов’язання</w:t>
      </w:r>
      <w:r w:rsidR="003C6951">
        <w:rPr>
          <w:iCs/>
          <w:sz w:val="26"/>
          <w:szCs w:val="26"/>
        </w:rPr>
        <w:t xml:space="preserve">» декларації </w:t>
      </w:r>
      <w:r w:rsidR="00CD2209">
        <w:rPr>
          <w:iCs/>
          <w:sz w:val="26"/>
          <w:szCs w:val="26"/>
        </w:rPr>
        <w:t xml:space="preserve">                </w:t>
      </w:r>
      <w:r w:rsidR="003C6951">
        <w:rPr>
          <w:iCs/>
          <w:sz w:val="26"/>
          <w:szCs w:val="26"/>
        </w:rPr>
        <w:t>(див. Додаток 12)».</w:t>
      </w:r>
    </w:p>
    <w:p w14:paraId="7D17E524" w14:textId="3CEF413E" w:rsidR="00042C88" w:rsidRDefault="00887593">
      <w:pPr>
        <w:spacing w:line="276" w:lineRule="auto"/>
        <w:ind w:firstLine="709"/>
        <w:contextualSpacing/>
        <w:jc w:val="both"/>
        <w:rPr>
          <w:iCs/>
          <w:sz w:val="26"/>
          <w:szCs w:val="26"/>
        </w:rPr>
      </w:pPr>
      <w:r>
        <w:rPr>
          <w:iCs/>
          <w:sz w:val="26"/>
          <w:szCs w:val="26"/>
        </w:rPr>
        <w:t>З</w:t>
      </w:r>
      <w:r w:rsidR="00321D86" w:rsidRPr="00321D86">
        <w:rPr>
          <w:iCs/>
          <w:sz w:val="26"/>
          <w:szCs w:val="26"/>
        </w:rPr>
        <w:t xml:space="preserve"> Договору</w:t>
      </w:r>
      <w:r w:rsidR="00321D86">
        <w:rPr>
          <w:iCs/>
          <w:sz w:val="26"/>
          <w:szCs w:val="26"/>
        </w:rPr>
        <w:t xml:space="preserve"> </w:t>
      </w:r>
      <w:r>
        <w:rPr>
          <w:iCs/>
          <w:sz w:val="26"/>
          <w:szCs w:val="26"/>
        </w:rPr>
        <w:t xml:space="preserve">слідує, що </w:t>
      </w:r>
      <w:r w:rsidR="00321D86">
        <w:rPr>
          <w:iCs/>
          <w:sz w:val="26"/>
          <w:szCs w:val="26"/>
        </w:rPr>
        <w:t>30 грудня 2020 року Марченко Н.Ю.</w:t>
      </w:r>
      <w:r w:rsidR="00321D86" w:rsidRPr="00321D86">
        <w:t xml:space="preserve"> </w:t>
      </w:r>
      <w:r w:rsidR="00321D86">
        <w:rPr>
          <w:iCs/>
          <w:sz w:val="26"/>
          <w:szCs w:val="26"/>
        </w:rPr>
        <w:t>прийняла</w:t>
      </w:r>
      <w:r w:rsidR="00321D86" w:rsidRPr="00321D86">
        <w:rPr>
          <w:iCs/>
          <w:sz w:val="26"/>
          <w:szCs w:val="26"/>
        </w:rPr>
        <w:t xml:space="preserve"> на себе майнові права на об’єкт нерухомості</w:t>
      </w:r>
      <w:r w:rsidR="00321D86">
        <w:rPr>
          <w:iCs/>
          <w:sz w:val="26"/>
          <w:szCs w:val="26"/>
        </w:rPr>
        <w:t xml:space="preserve"> (квартиру)</w:t>
      </w:r>
      <w:r w:rsidR="00234787">
        <w:rPr>
          <w:iCs/>
          <w:sz w:val="26"/>
          <w:szCs w:val="26"/>
        </w:rPr>
        <w:t xml:space="preserve">, однак у розділі 4 «Об’єкти незавершеного будівництва» Декларації за 2020 рік </w:t>
      </w:r>
      <w:r w:rsidR="00EE4DE2">
        <w:rPr>
          <w:iCs/>
          <w:sz w:val="26"/>
          <w:szCs w:val="26"/>
        </w:rPr>
        <w:t>не</w:t>
      </w:r>
      <w:r w:rsidR="00C15C2C">
        <w:rPr>
          <w:iCs/>
          <w:sz w:val="26"/>
          <w:szCs w:val="26"/>
        </w:rPr>
        <w:t>ю не</w:t>
      </w:r>
      <w:r w:rsidR="00EE4DE2">
        <w:rPr>
          <w:iCs/>
          <w:sz w:val="26"/>
          <w:szCs w:val="26"/>
        </w:rPr>
        <w:t xml:space="preserve"> відображено таких відомостей</w:t>
      </w:r>
      <w:r w:rsidR="00EE4DE2" w:rsidRPr="00EE4DE2">
        <w:rPr>
          <w:iCs/>
          <w:sz w:val="26"/>
          <w:szCs w:val="26"/>
        </w:rPr>
        <w:t>.</w:t>
      </w:r>
    </w:p>
    <w:p w14:paraId="18BE8D97" w14:textId="02BDB5C6" w:rsidR="000C2BCE" w:rsidRDefault="00E45D5E" w:rsidP="008F3725">
      <w:pPr>
        <w:spacing w:line="276" w:lineRule="auto"/>
        <w:ind w:firstLine="709"/>
        <w:contextualSpacing/>
        <w:jc w:val="both"/>
        <w:rPr>
          <w:iCs/>
          <w:sz w:val="26"/>
          <w:szCs w:val="26"/>
        </w:rPr>
      </w:pPr>
      <w:r>
        <w:rPr>
          <w:iCs/>
          <w:sz w:val="26"/>
          <w:szCs w:val="26"/>
        </w:rPr>
        <w:t>Водночас</w:t>
      </w:r>
      <w:r w:rsidR="000C2BCE">
        <w:rPr>
          <w:iCs/>
          <w:sz w:val="26"/>
          <w:szCs w:val="26"/>
        </w:rPr>
        <w:t xml:space="preserve"> у</w:t>
      </w:r>
      <w:r w:rsidR="000C2BCE" w:rsidRPr="000C2BCE">
        <w:rPr>
          <w:iCs/>
          <w:sz w:val="26"/>
          <w:szCs w:val="26"/>
        </w:rPr>
        <w:t xml:space="preserve"> розділі 4 «Об’єкти незавершеного будівництва»</w:t>
      </w:r>
      <w:r w:rsidR="000C2BCE">
        <w:rPr>
          <w:iCs/>
          <w:sz w:val="26"/>
          <w:szCs w:val="26"/>
        </w:rPr>
        <w:t xml:space="preserve"> Декларації за </w:t>
      </w:r>
      <w:r w:rsidR="00CD2209">
        <w:rPr>
          <w:iCs/>
          <w:sz w:val="26"/>
          <w:szCs w:val="26"/>
        </w:rPr>
        <w:t xml:space="preserve">               </w:t>
      </w:r>
      <w:r w:rsidR="000C2BCE">
        <w:rPr>
          <w:iCs/>
          <w:sz w:val="26"/>
          <w:szCs w:val="26"/>
        </w:rPr>
        <w:t xml:space="preserve">2021 рік кандидат вказала </w:t>
      </w:r>
      <w:r w:rsidR="008F3725">
        <w:rPr>
          <w:iCs/>
          <w:sz w:val="26"/>
          <w:szCs w:val="26"/>
        </w:rPr>
        <w:t xml:space="preserve">інформацію про квартиру (об’єкт, право власності на який не зареєстроване в установленому </w:t>
      </w:r>
      <w:r w:rsidR="008F3725" w:rsidRPr="008F3725">
        <w:rPr>
          <w:iCs/>
          <w:sz w:val="26"/>
          <w:szCs w:val="26"/>
        </w:rPr>
        <w:t>законом порядку</w:t>
      </w:r>
      <w:r w:rsidR="008F3725">
        <w:rPr>
          <w:iCs/>
          <w:sz w:val="26"/>
          <w:szCs w:val="26"/>
        </w:rPr>
        <w:t xml:space="preserve">), дата набуття права </w:t>
      </w:r>
      <w:r w:rsidR="008F3725" w:rsidRPr="008F3725">
        <w:rPr>
          <w:iCs/>
          <w:sz w:val="26"/>
          <w:szCs w:val="26"/>
        </w:rPr>
        <w:t>30</w:t>
      </w:r>
      <w:r w:rsidR="008F3725">
        <w:rPr>
          <w:iCs/>
          <w:sz w:val="26"/>
          <w:szCs w:val="26"/>
        </w:rPr>
        <w:t xml:space="preserve"> грудня </w:t>
      </w:r>
      <w:r w:rsidR="008F3725" w:rsidRPr="008F3725">
        <w:rPr>
          <w:iCs/>
          <w:sz w:val="26"/>
          <w:szCs w:val="26"/>
        </w:rPr>
        <w:t>2020</w:t>
      </w:r>
      <w:r w:rsidR="008F3725">
        <w:rPr>
          <w:iCs/>
          <w:sz w:val="26"/>
          <w:szCs w:val="26"/>
        </w:rPr>
        <w:t xml:space="preserve"> року. </w:t>
      </w:r>
    </w:p>
    <w:p w14:paraId="614AA8E7" w14:textId="7C889D76" w:rsidR="001A553B" w:rsidRDefault="000F0514" w:rsidP="00E35D24">
      <w:pPr>
        <w:pStyle w:val="afe"/>
        <w:ind w:firstLine="709"/>
        <w:contextualSpacing/>
        <w:jc w:val="both"/>
        <w:rPr>
          <w:i/>
          <w:iCs/>
          <w:color w:val="000000"/>
          <w:sz w:val="26"/>
          <w:szCs w:val="26"/>
        </w:rPr>
      </w:pPr>
      <w:r>
        <w:rPr>
          <w:iCs/>
          <w:color w:val="000000"/>
          <w:sz w:val="26"/>
          <w:szCs w:val="26"/>
        </w:rPr>
        <w:t>Оцінюючи встановлені обставини</w:t>
      </w:r>
      <w:r w:rsidR="00767861">
        <w:rPr>
          <w:iCs/>
          <w:color w:val="000000"/>
          <w:sz w:val="26"/>
          <w:szCs w:val="26"/>
        </w:rPr>
        <w:t>,</w:t>
      </w:r>
      <w:r>
        <w:rPr>
          <w:iCs/>
          <w:color w:val="000000"/>
          <w:sz w:val="26"/>
          <w:szCs w:val="26"/>
        </w:rPr>
        <w:t xml:space="preserve"> Комісія бере до уваги</w:t>
      </w:r>
      <w:r w:rsidR="001A553B">
        <w:rPr>
          <w:iCs/>
          <w:color w:val="000000"/>
          <w:sz w:val="26"/>
          <w:szCs w:val="26"/>
        </w:rPr>
        <w:t>,</w:t>
      </w:r>
      <w:r>
        <w:rPr>
          <w:iCs/>
          <w:color w:val="000000"/>
          <w:sz w:val="26"/>
          <w:szCs w:val="26"/>
        </w:rPr>
        <w:t xml:space="preserve"> що</w:t>
      </w:r>
      <w:r w:rsidR="001A553B">
        <w:rPr>
          <w:iCs/>
          <w:color w:val="000000"/>
          <w:sz w:val="26"/>
          <w:szCs w:val="26"/>
        </w:rPr>
        <w:t xml:space="preserve"> </w:t>
      </w:r>
      <w:r w:rsidR="00154729">
        <w:rPr>
          <w:iCs/>
          <w:color w:val="000000"/>
          <w:sz w:val="26"/>
          <w:szCs w:val="26"/>
        </w:rPr>
        <w:t xml:space="preserve">кандидат </w:t>
      </w:r>
      <w:r w:rsidR="00E42AAF">
        <w:rPr>
          <w:iCs/>
          <w:color w:val="000000"/>
          <w:sz w:val="26"/>
          <w:szCs w:val="26"/>
        </w:rPr>
        <w:t>не приховувала</w:t>
      </w:r>
      <w:r w:rsidR="0054373E">
        <w:rPr>
          <w:iCs/>
          <w:color w:val="000000"/>
          <w:sz w:val="26"/>
          <w:szCs w:val="26"/>
        </w:rPr>
        <w:t xml:space="preserve"> інформацію про набуття майнових прав</w:t>
      </w:r>
      <w:r w:rsidR="00E42AAF">
        <w:rPr>
          <w:iCs/>
          <w:color w:val="000000"/>
          <w:sz w:val="26"/>
          <w:szCs w:val="26"/>
        </w:rPr>
        <w:t xml:space="preserve">, про що свідчить відображення відповідної інформації </w:t>
      </w:r>
      <w:r w:rsidR="00767861">
        <w:rPr>
          <w:iCs/>
          <w:color w:val="000000"/>
          <w:sz w:val="26"/>
          <w:szCs w:val="26"/>
        </w:rPr>
        <w:t>в</w:t>
      </w:r>
      <w:r w:rsidR="006229F3">
        <w:rPr>
          <w:iCs/>
          <w:color w:val="000000"/>
          <w:sz w:val="26"/>
          <w:szCs w:val="26"/>
        </w:rPr>
        <w:t xml:space="preserve"> розділах 13,</w:t>
      </w:r>
      <w:r w:rsidR="0054373E" w:rsidRPr="0054373E">
        <w:rPr>
          <w:iCs/>
          <w:color w:val="000000"/>
          <w:sz w:val="26"/>
          <w:szCs w:val="26"/>
        </w:rPr>
        <w:t xml:space="preserve"> 14 </w:t>
      </w:r>
      <w:r w:rsidR="006229F3" w:rsidRPr="006229F3">
        <w:rPr>
          <w:iCs/>
          <w:color w:val="000000"/>
          <w:sz w:val="26"/>
          <w:szCs w:val="26"/>
        </w:rPr>
        <w:t>«Фінансові зобов’язання»</w:t>
      </w:r>
      <w:r w:rsidR="006229F3">
        <w:rPr>
          <w:iCs/>
          <w:color w:val="000000"/>
          <w:sz w:val="26"/>
          <w:szCs w:val="26"/>
        </w:rPr>
        <w:t xml:space="preserve">, </w:t>
      </w:r>
      <w:r w:rsidR="0054373E" w:rsidRPr="0054373E">
        <w:rPr>
          <w:iCs/>
          <w:color w:val="000000"/>
          <w:sz w:val="26"/>
          <w:szCs w:val="26"/>
        </w:rPr>
        <w:t xml:space="preserve">«Видатки та правочини суб’єкта декларування» </w:t>
      </w:r>
      <w:r w:rsidR="001A553B" w:rsidRPr="001A553B">
        <w:rPr>
          <w:iCs/>
          <w:color w:val="000000"/>
          <w:sz w:val="26"/>
          <w:szCs w:val="26"/>
        </w:rPr>
        <w:t>Декларації за 2020 рік</w:t>
      </w:r>
      <w:r w:rsidR="006229F3">
        <w:rPr>
          <w:iCs/>
          <w:color w:val="000000"/>
          <w:sz w:val="26"/>
          <w:szCs w:val="26"/>
        </w:rPr>
        <w:t>.</w:t>
      </w:r>
    </w:p>
    <w:p w14:paraId="0C2A7B70" w14:textId="113E0355" w:rsidR="000D4AC7" w:rsidRDefault="000D4AC7">
      <w:pPr>
        <w:pStyle w:val="afe"/>
        <w:spacing w:after="0"/>
        <w:ind w:firstLine="709"/>
        <w:contextualSpacing/>
        <w:jc w:val="both"/>
        <w:rPr>
          <w:iCs/>
          <w:color w:val="000000"/>
          <w:sz w:val="26"/>
          <w:szCs w:val="26"/>
        </w:rPr>
      </w:pPr>
      <w:r w:rsidRPr="000D4AC7">
        <w:rPr>
          <w:iCs/>
          <w:color w:val="000000"/>
          <w:sz w:val="26"/>
          <w:szCs w:val="26"/>
        </w:rPr>
        <w:t>Відповідно до пункту 19 розділу ІІІ Єдиних показників сумлінність – старанне, ретельне та відповідальне виконання суддею (кандидатом на посаду судді) своїх обов’язків.</w:t>
      </w:r>
    </w:p>
    <w:p w14:paraId="31CEB0E1" w14:textId="4626D566" w:rsidR="00480115" w:rsidRPr="00601331" w:rsidRDefault="009726BB" w:rsidP="00601331">
      <w:pPr>
        <w:pStyle w:val="afe"/>
        <w:spacing w:after="0"/>
        <w:ind w:firstLine="709"/>
        <w:contextualSpacing/>
        <w:jc w:val="both"/>
        <w:rPr>
          <w:iCs/>
          <w:color w:val="000000"/>
          <w:sz w:val="26"/>
          <w:szCs w:val="26"/>
        </w:rPr>
      </w:pPr>
      <w:r w:rsidRPr="009726BB">
        <w:rPr>
          <w:iCs/>
          <w:color w:val="000000"/>
          <w:sz w:val="26"/>
          <w:szCs w:val="26"/>
        </w:rPr>
        <w:t>Ураховуючи зазначене, Комісія у складі колегії вважає, що кандидат не продемонструвала достатнього рівня ретельності та відповідальності при декларуванні.</w:t>
      </w:r>
      <w:r w:rsidR="00601331">
        <w:rPr>
          <w:iCs/>
          <w:color w:val="000000"/>
          <w:sz w:val="26"/>
          <w:szCs w:val="26"/>
        </w:rPr>
        <w:t xml:space="preserve"> В</w:t>
      </w:r>
      <w:r w:rsidR="00E45D5E" w:rsidRPr="00A637C1">
        <w:rPr>
          <w:iCs/>
          <w:sz w:val="26"/>
          <w:szCs w:val="26"/>
        </w:rPr>
        <w:t xml:space="preserve">казані обставини </w:t>
      </w:r>
      <w:r w:rsidR="00E45D5E" w:rsidRPr="00A637C1">
        <w:rPr>
          <w:sz w:val="26"/>
          <w:szCs w:val="26"/>
        </w:rPr>
        <w:t>не є достатніми для визнання кандидата такою, що не відповідає критеріям доброчесності та професійної етики, однак</w:t>
      </w:r>
      <w:r w:rsidR="00DA0958" w:rsidRPr="00A637C1">
        <w:rPr>
          <w:sz w:val="26"/>
          <w:szCs w:val="26"/>
        </w:rPr>
        <w:t xml:space="preserve"> в сукупності з згаданими рані</w:t>
      </w:r>
      <w:r w:rsidR="00B01060" w:rsidRPr="00A637C1">
        <w:rPr>
          <w:sz w:val="26"/>
          <w:szCs w:val="26"/>
        </w:rPr>
        <w:t xml:space="preserve">ше недоліками декларування щодо </w:t>
      </w:r>
      <w:r w:rsidR="00EF68CC" w:rsidRPr="00A637C1">
        <w:rPr>
          <w:sz w:val="26"/>
          <w:szCs w:val="26"/>
        </w:rPr>
        <w:t xml:space="preserve">відображення </w:t>
      </w:r>
      <w:r w:rsidR="00A108A1">
        <w:rPr>
          <w:sz w:val="26"/>
          <w:szCs w:val="26"/>
        </w:rPr>
        <w:t>в</w:t>
      </w:r>
      <w:r w:rsidR="00EF68CC" w:rsidRPr="00A637C1">
        <w:rPr>
          <w:sz w:val="26"/>
          <w:szCs w:val="26"/>
        </w:rPr>
        <w:t xml:space="preserve"> майновій декларації за 2015 рік та Декларації за 2015 рік </w:t>
      </w:r>
      <w:r w:rsidR="00B01060" w:rsidRPr="00A637C1">
        <w:rPr>
          <w:sz w:val="26"/>
          <w:szCs w:val="26"/>
        </w:rPr>
        <w:t>різної площі нерухомого майна</w:t>
      </w:r>
      <w:r w:rsidR="00EE7A00" w:rsidRPr="00A637C1">
        <w:rPr>
          <w:sz w:val="26"/>
          <w:szCs w:val="26"/>
        </w:rPr>
        <w:t xml:space="preserve"> (пункт 1 інформації ГРД)</w:t>
      </w:r>
      <w:r w:rsidR="00934EA2" w:rsidRPr="00A637C1">
        <w:rPr>
          <w:sz w:val="26"/>
          <w:szCs w:val="26"/>
        </w:rPr>
        <w:t>,</w:t>
      </w:r>
      <w:r w:rsidR="00FF1FFC" w:rsidRPr="00A637C1">
        <w:rPr>
          <w:sz w:val="26"/>
          <w:szCs w:val="26"/>
        </w:rPr>
        <w:t xml:space="preserve"> </w:t>
      </w:r>
      <w:r w:rsidR="00E45D5E" w:rsidRPr="00A637C1">
        <w:rPr>
          <w:sz w:val="26"/>
          <w:szCs w:val="26"/>
        </w:rPr>
        <w:t>є підставою для зниження її оцінки на 15 ба</w:t>
      </w:r>
      <w:r w:rsidR="00934EA2" w:rsidRPr="00A637C1">
        <w:rPr>
          <w:sz w:val="26"/>
          <w:szCs w:val="26"/>
        </w:rPr>
        <w:t>лів за показником «Сумлінність» критерію доброчесності</w:t>
      </w:r>
      <w:r w:rsidR="00A637C1" w:rsidRPr="00A637C1">
        <w:rPr>
          <w:sz w:val="26"/>
          <w:szCs w:val="26"/>
        </w:rPr>
        <w:t>.</w:t>
      </w:r>
      <w:r w:rsidR="00934EA2" w:rsidRPr="00A637C1">
        <w:rPr>
          <w:sz w:val="26"/>
          <w:szCs w:val="26"/>
        </w:rPr>
        <w:t xml:space="preserve"> </w:t>
      </w:r>
    </w:p>
    <w:p w14:paraId="357A51D3" w14:textId="77777777" w:rsidR="000C12AD" w:rsidRPr="00E50DC7" w:rsidRDefault="000C12AD">
      <w:pPr>
        <w:spacing w:line="276" w:lineRule="auto"/>
        <w:ind w:firstLine="709"/>
        <w:contextualSpacing/>
        <w:jc w:val="both"/>
        <w:rPr>
          <w:color w:val="EE0000"/>
          <w:sz w:val="26"/>
          <w:szCs w:val="26"/>
        </w:rPr>
      </w:pPr>
    </w:p>
    <w:p w14:paraId="66F16644" w14:textId="77777777" w:rsidR="00480115" w:rsidRDefault="00E45D5E">
      <w:pPr>
        <w:spacing w:line="276" w:lineRule="auto"/>
        <w:ind w:firstLine="709"/>
        <w:contextualSpacing/>
        <w:jc w:val="both"/>
        <w:rPr>
          <w:sz w:val="26"/>
          <w:szCs w:val="26"/>
        </w:rPr>
      </w:pPr>
      <w:r>
        <w:rPr>
          <w:sz w:val="26"/>
          <w:szCs w:val="26"/>
        </w:rPr>
        <w:t>2. При вирішенні питання відповідності Марченко Н.Ю. критеріям доброчесності та професійної етики Комісія враховує, що вона порушувала строки надсилання до ЄДРСР електронних копій судових рішень.</w:t>
      </w:r>
    </w:p>
    <w:p w14:paraId="55ED1E63" w14:textId="462508D1" w:rsidR="00480115" w:rsidRDefault="00E45D5E">
      <w:pPr>
        <w:spacing w:line="276" w:lineRule="auto"/>
        <w:ind w:firstLine="709"/>
        <w:contextualSpacing/>
        <w:jc w:val="both"/>
        <w:rPr>
          <w:sz w:val="26"/>
          <w:szCs w:val="26"/>
        </w:rPr>
      </w:pPr>
      <w:r>
        <w:rPr>
          <w:sz w:val="26"/>
          <w:szCs w:val="26"/>
        </w:rPr>
        <w:t>За інформацією, наданою Державним підприємством «Інформаційні судові системи», про випадки перевищення строків надсилання (оприлюднення) до ЄДРСР електронних копій судових рішень, у період з грудня 2016 року до березня 2026 року кандидатом</w:t>
      </w:r>
      <w:r>
        <w:t xml:space="preserve"> </w:t>
      </w:r>
      <w:r>
        <w:rPr>
          <w:sz w:val="26"/>
          <w:szCs w:val="26"/>
        </w:rPr>
        <w:t>з порушенням встановлених процесуальним законодавством строків внесено до ЄДРСР 3</w:t>
      </w:r>
      <w:r w:rsidR="00386C4B">
        <w:rPr>
          <w:sz w:val="26"/>
          <w:szCs w:val="26"/>
        </w:rPr>
        <w:t xml:space="preserve"> </w:t>
      </w:r>
      <w:r>
        <w:rPr>
          <w:sz w:val="26"/>
          <w:szCs w:val="26"/>
        </w:rPr>
        <w:t>578 судових рішень.</w:t>
      </w:r>
    </w:p>
    <w:p w14:paraId="04B39416" w14:textId="7BA2D4AF" w:rsidR="00480115" w:rsidRDefault="00E45D5E" w:rsidP="00A22468">
      <w:pPr>
        <w:spacing w:line="276" w:lineRule="auto"/>
        <w:ind w:firstLine="709"/>
        <w:contextualSpacing/>
        <w:jc w:val="both"/>
        <w:rPr>
          <w:sz w:val="26"/>
          <w:szCs w:val="26"/>
        </w:rPr>
      </w:pPr>
      <w:r>
        <w:rPr>
          <w:sz w:val="26"/>
          <w:szCs w:val="26"/>
        </w:rPr>
        <w:lastRenderedPageBreak/>
        <w:t xml:space="preserve">Зокрема, Комісія звернула увагу, що за період з 01 серпня 2022 року до 31 серпня 2022 року Марченко Н.Ю. з перевищенням строків надсилання внесено до ЄДРСР </w:t>
      </w:r>
      <w:r w:rsidR="00CD2209">
        <w:rPr>
          <w:sz w:val="26"/>
          <w:szCs w:val="26"/>
        </w:rPr>
        <w:t xml:space="preserve">              </w:t>
      </w:r>
      <w:r>
        <w:rPr>
          <w:sz w:val="26"/>
          <w:szCs w:val="26"/>
        </w:rPr>
        <w:t xml:space="preserve">102 рішення; за період з 01 січня 2019 року до 31 січня 2019 року </w:t>
      </w:r>
      <w:r w:rsidR="00A22468">
        <w:rPr>
          <w:sz w:val="26"/>
          <w:szCs w:val="26"/>
        </w:rPr>
        <w:t>– 102 рішення</w:t>
      </w:r>
      <w:r w:rsidR="00A22468" w:rsidRPr="00A22468">
        <w:rPr>
          <w:sz w:val="26"/>
          <w:szCs w:val="26"/>
        </w:rPr>
        <w:t>; за період з</w:t>
      </w:r>
      <w:r w:rsidR="00A22468">
        <w:rPr>
          <w:sz w:val="26"/>
          <w:szCs w:val="26"/>
        </w:rPr>
        <w:t xml:space="preserve"> </w:t>
      </w:r>
      <w:r w:rsidR="00A22468" w:rsidRPr="00A22468">
        <w:rPr>
          <w:sz w:val="26"/>
          <w:szCs w:val="26"/>
        </w:rPr>
        <w:t>01 травня 2019 року до 31 травня 2019 року – 105 рішень;</w:t>
      </w:r>
      <w:r w:rsidR="00CD0B1C" w:rsidRPr="00CD0B1C">
        <w:rPr>
          <w:sz w:val="26"/>
          <w:szCs w:val="26"/>
        </w:rPr>
        <w:t xml:space="preserve"> за період з 01 вересня 2019 року до 30 вересня 2019 року – 204 рішення</w:t>
      </w:r>
      <w:r w:rsidR="00CD0B1C">
        <w:rPr>
          <w:sz w:val="26"/>
          <w:szCs w:val="26"/>
        </w:rPr>
        <w:t>;</w:t>
      </w:r>
      <w:r w:rsidR="00CD0B1C" w:rsidRPr="00CD0B1C">
        <w:rPr>
          <w:sz w:val="26"/>
          <w:szCs w:val="26"/>
        </w:rPr>
        <w:t xml:space="preserve"> за період з 01 жовтня 2019 року до 31 жовтня 2019 року – 180 рішень</w:t>
      </w:r>
      <w:r w:rsidR="00A03C85">
        <w:rPr>
          <w:sz w:val="26"/>
          <w:szCs w:val="26"/>
        </w:rPr>
        <w:t>.</w:t>
      </w:r>
    </w:p>
    <w:p w14:paraId="7844B47B" w14:textId="77777777" w:rsidR="00480115" w:rsidRDefault="00E45D5E">
      <w:pPr>
        <w:spacing w:line="276" w:lineRule="auto"/>
        <w:ind w:firstLine="709"/>
        <w:contextualSpacing/>
        <w:jc w:val="both"/>
        <w:rPr>
          <w:sz w:val="26"/>
          <w:szCs w:val="26"/>
        </w:rPr>
      </w:pPr>
      <w:r>
        <w:rPr>
          <w:sz w:val="26"/>
          <w:szCs w:val="26"/>
        </w:rPr>
        <w:t>Відповідно до частини третьої статті 3 Закону України «Про доступ до судових рішень» суд загальної юрисдикції вносить до ЄДРСР усі судові рішення і окремі думки суддів, викладені у письмовій формі, не пізніше наступного дня після їх ухвалення або виготовлення повного тексту.</w:t>
      </w:r>
    </w:p>
    <w:p w14:paraId="7ECCBE21" w14:textId="77777777" w:rsidR="00480115" w:rsidRDefault="00E45D5E">
      <w:pPr>
        <w:spacing w:line="276" w:lineRule="auto"/>
        <w:ind w:firstLine="709"/>
        <w:contextualSpacing/>
        <w:jc w:val="both"/>
        <w:rPr>
          <w:sz w:val="26"/>
          <w:szCs w:val="26"/>
        </w:rPr>
      </w:pPr>
      <w:r>
        <w:rPr>
          <w:sz w:val="26"/>
          <w:szCs w:val="26"/>
        </w:rPr>
        <w:t>Згідно з преамбулою цього закону його метою є забезпечення відкритості діяльності судів загальної юрисдикції, прогнозованості судових рішень та сприяння однаковому застосуванню законодавства.</w:t>
      </w:r>
    </w:p>
    <w:p w14:paraId="0FA6E3F7" w14:textId="77777777" w:rsidR="00480115" w:rsidRDefault="00E45D5E">
      <w:pPr>
        <w:spacing w:line="276" w:lineRule="auto"/>
        <w:ind w:firstLine="709"/>
        <w:contextualSpacing/>
        <w:jc w:val="both"/>
        <w:rPr>
          <w:sz w:val="26"/>
          <w:szCs w:val="26"/>
        </w:rPr>
      </w:pPr>
      <w:r>
        <w:rPr>
          <w:sz w:val="26"/>
          <w:szCs w:val="26"/>
        </w:rPr>
        <w:t>Пунктом 19 розділу ІІІ Єдиних показників визначено, що  сумлінність – старанне, ретельне та відповідальне виконання суддею (кандидатом на посаду судді) своїх обов’язків. Суддя (кандидат на посаду судді) відповідає показнику сумлінність, якщо, зокрема, але не виключно під час здійснення професійної діяльності вживає достатніх заходів щодо дотримання розумних строків вчинення дій, виконання завдань, розгляду справ, заяв, звернень тощо, виготовлення процесуальних документів.</w:t>
      </w:r>
    </w:p>
    <w:p w14:paraId="10842478" w14:textId="77777777" w:rsidR="00480115" w:rsidRDefault="00E45D5E">
      <w:pPr>
        <w:spacing w:line="276" w:lineRule="auto"/>
        <w:ind w:firstLine="709"/>
        <w:contextualSpacing/>
        <w:jc w:val="both"/>
        <w:rPr>
          <w:sz w:val="26"/>
          <w:szCs w:val="26"/>
        </w:rPr>
      </w:pPr>
      <w:r>
        <w:rPr>
          <w:sz w:val="26"/>
          <w:szCs w:val="26"/>
        </w:rPr>
        <w:t>З огляду на вказане Комісія вважає, що значна кількість судових рішень, внесених до ЄДРСР несвоєчасно, може свідчити про те, що в кандидата виникають певні труднощі в ефективній організації своєї роботи.</w:t>
      </w:r>
    </w:p>
    <w:p w14:paraId="3877C9BD" w14:textId="77777777" w:rsidR="00480115" w:rsidRPr="00B410B6" w:rsidRDefault="00E45D5E">
      <w:pPr>
        <w:spacing w:line="276" w:lineRule="auto"/>
        <w:ind w:firstLine="709"/>
        <w:contextualSpacing/>
        <w:jc w:val="both"/>
        <w:rPr>
          <w:sz w:val="26"/>
          <w:szCs w:val="26"/>
        </w:rPr>
      </w:pPr>
      <w:r w:rsidRPr="00B410B6">
        <w:rPr>
          <w:sz w:val="26"/>
          <w:szCs w:val="26"/>
        </w:rPr>
        <w:t>Ураховуючи викладене, Комісія вважає цю обставину підставою для зниження оцінки кандидата за показником «Сумлінність» критеріїв доброчесності та професійної етики на 15 балів.</w:t>
      </w:r>
    </w:p>
    <w:p w14:paraId="66832FB3" w14:textId="77777777" w:rsidR="00480115" w:rsidRDefault="00E45D5E">
      <w:pPr>
        <w:spacing w:line="276" w:lineRule="auto"/>
        <w:ind w:firstLine="709"/>
        <w:contextualSpacing/>
        <w:jc w:val="both"/>
        <w:rPr>
          <w:sz w:val="26"/>
          <w:szCs w:val="26"/>
        </w:rPr>
      </w:pPr>
      <w:r>
        <w:rPr>
          <w:sz w:val="26"/>
          <w:szCs w:val="26"/>
        </w:rPr>
        <w:t xml:space="preserve">За результатами дослідження досьє, письмових пояснень та співбесіди з кандидатом, а також голосувань під час закритого обговорення за відповідними показниками сумарний бал, отриманий за цими критеріями, становить </w:t>
      </w:r>
      <w:r>
        <w:rPr>
          <w:sz w:val="26"/>
          <w:szCs w:val="26"/>
          <w:lang w:val="ru-RU"/>
        </w:rPr>
        <w:t xml:space="preserve">270 </w:t>
      </w:r>
      <w:r>
        <w:rPr>
          <w:sz w:val="26"/>
          <w:szCs w:val="26"/>
        </w:rPr>
        <w:t>балів, тому Комісія виснує, що Марченко Н.Ю. відповідає критеріям доброчесності та професійної етики.</w:t>
      </w:r>
    </w:p>
    <w:p w14:paraId="4647FCFF" w14:textId="77777777" w:rsidR="00480115" w:rsidRDefault="00E45D5E">
      <w:pPr>
        <w:shd w:val="clear" w:color="auto" w:fill="FFFFFF"/>
        <w:tabs>
          <w:tab w:val="left" w:pos="426"/>
        </w:tabs>
        <w:ind w:firstLine="709"/>
        <w:contextualSpacing/>
        <w:jc w:val="both"/>
        <w:rPr>
          <w:b/>
          <w:sz w:val="26"/>
          <w:szCs w:val="26"/>
        </w:rPr>
      </w:pPr>
      <w:r>
        <w:rPr>
          <w:b/>
          <w:sz w:val="26"/>
          <w:szCs w:val="26"/>
        </w:rPr>
        <w:t>Висновки за результатами кваліфікаційного оцінювання</w:t>
      </w:r>
    </w:p>
    <w:tbl>
      <w:tblPr>
        <w:tblStyle w:val="aff8"/>
        <w:tblW w:w="9551" w:type="dxa"/>
        <w:tblLayout w:type="fixed"/>
        <w:tblLook w:val="04A0" w:firstRow="1" w:lastRow="0" w:firstColumn="1" w:lastColumn="0" w:noHBand="0" w:noVBand="1"/>
      </w:tblPr>
      <w:tblGrid>
        <w:gridCol w:w="1695"/>
        <w:gridCol w:w="3665"/>
        <w:gridCol w:w="1829"/>
        <w:gridCol w:w="2362"/>
      </w:tblGrid>
      <w:tr w:rsidR="00480115" w14:paraId="758186D3" w14:textId="77777777">
        <w:tc>
          <w:tcPr>
            <w:tcW w:w="1695" w:type="dxa"/>
            <w:tcBorders>
              <w:top w:val="single" w:sz="12" w:space="0" w:color="000000"/>
              <w:left w:val="single" w:sz="12" w:space="0" w:color="000000"/>
              <w:bottom w:val="single" w:sz="12" w:space="0" w:color="000000"/>
              <w:right w:val="single" w:sz="12" w:space="0" w:color="000000"/>
            </w:tcBorders>
            <w:shd w:val="clear" w:color="auto" w:fill="F2F2F2"/>
          </w:tcPr>
          <w:p w14:paraId="52C1AE3C" w14:textId="77777777" w:rsidR="00480115" w:rsidRDefault="00E45D5E">
            <w:pPr>
              <w:tabs>
                <w:tab w:val="left" w:pos="426"/>
              </w:tabs>
              <w:spacing w:line="276" w:lineRule="auto"/>
              <w:jc w:val="center"/>
              <w:rPr>
                <w:sz w:val="22"/>
                <w:szCs w:val="22"/>
              </w:rPr>
            </w:pPr>
            <w:r>
              <w:rPr>
                <w:b/>
                <w:sz w:val="22"/>
                <w:szCs w:val="22"/>
              </w:rPr>
              <w:t>КРИТЕРІЇ</w:t>
            </w:r>
          </w:p>
        </w:tc>
        <w:tc>
          <w:tcPr>
            <w:tcW w:w="3665" w:type="dxa"/>
            <w:tcBorders>
              <w:top w:val="single" w:sz="12" w:space="0" w:color="000000"/>
              <w:left w:val="single" w:sz="12" w:space="0" w:color="000000"/>
              <w:bottom w:val="single" w:sz="12" w:space="0" w:color="000000"/>
              <w:right w:val="single" w:sz="12" w:space="0" w:color="000000"/>
            </w:tcBorders>
            <w:shd w:val="clear" w:color="auto" w:fill="F2F2F2"/>
          </w:tcPr>
          <w:p w14:paraId="6B460757" w14:textId="77777777" w:rsidR="00480115" w:rsidRDefault="00E45D5E">
            <w:pPr>
              <w:tabs>
                <w:tab w:val="left" w:pos="426"/>
              </w:tabs>
              <w:spacing w:line="276" w:lineRule="auto"/>
              <w:jc w:val="center"/>
              <w:rPr>
                <w:sz w:val="22"/>
                <w:szCs w:val="22"/>
              </w:rPr>
            </w:pPr>
            <w:r>
              <w:rPr>
                <w:b/>
                <w:sz w:val="22"/>
                <w:szCs w:val="22"/>
              </w:rPr>
              <w:t>ПОКАЗНИКИ</w:t>
            </w:r>
          </w:p>
        </w:tc>
        <w:tc>
          <w:tcPr>
            <w:tcW w:w="1829" w:type="dxa"/>
            <w:tcBorders>
              <w:top w:val="single" w:sz="12" w:space="0" w:color="000000"/>
              <w:left w:val="single" w:sz="12" w:space="0" w:color="000000"/>
              <w:bottom w:val="single" w:sz="12" w:space="0" w:color="000000"/>
              <w:right w:val="single" w:sz="12" w:space="0" w:color="000000"/>
            </w:tcBorders>
            <w:shd w:val="clear" w:color="auto" w:fill="F2F2F2"/>
          </w:tcPr>
          <w:p w14:paraId="789482BF" w14:textId="77777777" w:rsidR="00480115" w:rsidRDefault="00E45D5E">
            <w:pPr>
              <w:tabs>
                <w:tab w:val="left" w:pos="426"/>
              </w:tabs>
              <w:spacing w:line="276" w:lineRule="auto"/>
              <w:jc w:val="center"/>
            </w:pPr>
            <w:r>
              <w:rPr>
                <w:b/>
                <w:sz w:val="22"/>
                <w:szCs w:val="22"/>
              </w:rPr>
              <w:t>РЕЗУЛЬТАТ</w:t>
            </w:r>
            <w:r>
              <w:rPr>
                <w:rStyle w:val="apple-converted-space"/>
                <w:b/>
                <w:sz w:val="22"/>
                <w:szCs w:val="22"/>
              </w:rPr>
              <w:t> </w:t>
            </w:r>
            <w:r>
              <w:rPr>
                <w:b/>
                <w:sz w:val="22"/>
                <w:szCs w:val="22"/>
              </w:rPr>
              <w:br/>
              <w:t>(за показником</w:t>
            </w:r>
          </w:p>
        </w:tc>
        <w:tc>
          <w:tcPr>
            <w:tcW w:w="2362" w:type="dxa"/>
            <w:tcBorders>
              <w:top w:val="single" w:sz="12" w:space="0" w:color="000000"/>
              <w:left w:val="single" w:sz="12" w:space="0" w:color="000000"/>
              <w:bottom w:val="single" w:sz="12" w:space="0" w:color="000000"/>
              <w:right w:val="single" w:sz="12" w:space="0" w:color="000000"/>
            </w:tcBorders>
            <w:shd w:val="clear" w:color="auto" w:fill="F2F2F2"/>
          </w:tcPr>
          <w:p w14:paraId="7468DA09" w14:textId="77777777" w:rsidR="00480115" w:rsidRDefault="00E45D5E">
            <w:pPr>
              <w:tabs>
                <w:tab w:val="left" w:pos="426"/>
              </w:tabs>
              <w:spacing w:line="276" w:lineRule="auto"/>
              <w:jc w:val="center"/>
            </w:pPr>
            <w:r>
              <w:rPr>
                <w:b/>
                <w:sz w:val="22"/>
                <w:szCs w:val="22"/>
              </w:rPr>
              <w:t>РЕЗУЛЬТАТ</w:t>
            </w:r>
            <w:r>
              <w:rPr>
                <w:rStyle w:val="apple-converted-space"/>
                <w:b/>
                <w:sz w:val="22"/>
                <w:szCs w:val="22"/>
              </w:rPr>
              <w:t> </w:t>
            </w:r>
            <w:r>
              <w:rPr>
                <w:b/>
                <w:sz w:val="22"/>
                <w:szCs w:val="22"/>
              </w:rPr>
              <w:br/>
              <w:t>(за критерієм)</w:t>
            </w:r>
          </w:p>
        </w:tc>
      </w:tr>
      <w:tr w:rsidR="00480115" w14:paraId="4F1DE365" w14:textId="77777777">
        <w:tc>
          <w:tcPr>
            <w:tcW w:w="1695" w:type="dxa"/>
            <w:vMerge w:val="restart"/>
            <w:tcBorders>
              <w:top w:val="single" w:sz="12" w:space="0" w:color="000000"/>
              <w:left w:val="single" w:sz="12" w:space="0" w:color="000000"/>
              <w:bottom w:val="single" w:sz="12" w:space="0" w:color="000000"/>
              <w:right w:val="single" w:sz="12" w:space="0" w:color="000000"/>
            </w:tcBorders>
            <w:vAlign w:val="center"/>
          </w:tcPr>
          <w:p w14:paraId="051E3ABA" w14:textId="77777777" w:rsidR="00480115" w:rsidRDefault="00E45D5E">
            <w:pPr>
              <w:tabs>
                <w:tab w:val="left" w:pos="426"/>
              </w:tabs>
              <w:spacing w:line="276" w:lineRule="auto"/>
              <w:rPr>
                <w:sz w:val="22"/>
                <w:szCs w:val="22"/>
              </w:rPr>
            </w:pPr>
            <w:r>
              <w:rPr>
                <w:sz w:val="22"/>
                <w:szCs w:val="22"/>
              </w:rPr>
              <w:t>професійна компетентність</w:t>
            </w:r>
          </w:p>
        </w:tc>
        <w:tc>
          <w:tcPr>
            <w:tcW w:w="3665" w:type="dxa"/>
            <w:tcBorders>
              <w:top w:val="single" w:sz="12" w:space="0" w:color="000000"/>
              <w:left w:val="single" w:sz="12" w:space="0" w:color="000000"/>
              <w:bottom w:val="single" w:sz="12" w:space="0" w:color="000000"/>
              <w:right w:val="single" w:sz="12" w:space="0" w:color="000000"/>
            </w:tcBorders>
          </w:tcPr>
          <w:p w14:paraId="73BF9E99" w14:textId="77777777" w:rsidR="00480115" w:rsidRDefault="00E45D5E">
            <w:pPr>
              <w:tabs>
                <w:tab w:val="left" w:pos="426"/>
              </w:tabs>
              <w:spacing w:line="276" w:lineRule="auto"/>
              <w:jc w:val="both"/>
              <w:rPr>
                <w:sz w:val="22"/>
                <w:szCs w:val="22"/>
              </w:rPr>
            </w:pPr>
            <w:r>
              <w:rPr>
                <w:sz w:val="22"/>
                <w:szCs w:val="22"/>
              </w:rPr>
              <w:t>когнітивні здібності</w:t>
            </w:r>
          </w:p>
        </w:tc>
        <w:tc>
          <w:tcPr>
            <w:tcW w:w="1829" w:type="dxa"/>
            <w:tcBorders>
              <w:top w:val="single" w:sz="12" w:space="0" w:color="000000"/>
              <w:left w:val="single" w:sz="12" w:space="0" w:color="000000"/>
              <w:bottom w:val="single" w:sz="12" w:space="0" w:color="000000"/>
              <w:right w:val="single" w:sz="12" w:space="0" w:color="000000"/>
            </w:tcBorders>
            <w:vAlign w:val="center"/>
          </w:tcPr>
          <w:p w14:paraId="19345A28" w14:textId="77777777" w:rsidR="00480115" w:rsidRDefault="00E45D5E">
            <w:pPr>
              <w:tabs>
                <w:tab w:val="left" w:pos="426"/>
              </w:tabs>
              <w:spacing w:line="276" w:lineRule="auto"/>
              <w:jc w:val="center"/>
              <w:rPr>
                <w:sz w:val="22"/>
                <w:szCs w:val="22"/>
              </w:rPr>
            </w:pPr>
            <w:r>
              <w:rPr>
                <w:sz w:val="22"/>
                <w:szCs w:val="22"/>
              </w:rPr>
              <w:t>42,20</w:t>
            </w:r>
          </w:p>
        </w:tc>
        <w:tc>
          <w:tcPr>
            <w:tcW w:w="2362" w:type="dxa"/>
            <w:vMerge w:val="restart"/>
            <w:tcBorders>
              <w:top w:val="single" w:sz="12" w:space="0" w:color="000000"/>
              <w:left w:val="single" w:sz="12" w:space="0" w:color="000000"/>
              <w:bottom w:val="single" w:sz="12" w:space="0" w:color="000000"/>
              <w:right w:val="single" w:sz="12" w:space="0" w:color="000000"/>
            </w:tcBorders>
            <w:vAlign w:val="center"/>
          </w:tcPr>
          <w:p w14:paraId="08736CB4" w14:textId="27DABB99" w:rsidR="00480115" w:rsidRDefault="00216C67">
            <w:pPr>
              <w:tabs>
                <w:tab w:val="left" w:pos="426"/>
              </w:tabs>
              <w:spacing w:line="276" w:lineRule="auto"/>
              <w:jc w:val="center"/>
              <w:rPr>
                <w:sz w:val="22"/>
                <w:szCs w:val="22"/>
              </w:rPr>
            </w:pPr>
            <w:r>
              <w:rPr>
                <w:sz w:val="22"/>
                <w:szCs w:val="22"/>
              </w:rPr>
              <w:t>359,20</w:t>
            </w:r>
          </w:p>
        </w:tc>
      </w:tr>
      <w:tr w:rsidR="00480115" w14:paraId="12CA7E5C" w14:textId="77777777">
        <w:tc>
          <w:tcPr>
            <w:tcW w:w="1695" w:type="dxa"/>
            <w:vMerge/>
            <w:tcBorders>
              <w:top w:val="single" w:sz="12" w:space="0" w:color="000000"/>
              <w:left w:val="single" w:sz="12" w:space="0" w:color="000000"/>
              <w:bottom w:val="single" w:sz="12" w:space="0" w:color="000000"/>
              <w:right w:val="single" w:sz="12" w:space="0" w:color="000000"/>
            </w:tcBorders>
          </w:tcPr>
          <w:p w14:paraId="48A987C3" w14:textId="77777777" w:rsidR="00480115" w:rsidRDefault="00480115">
            <w:pPr>
              <w:tabs>
                <w:tab w:val="left" w:pos="426"/>
              </w:tabs>
              <w:spacing w:line="276" w:lineRule="auto"/>
              <w:jc w:val="both"/>
              <w:rPr>
                <w:b/>
                <w:sz w:val="22"/>
                <w:szCs w:val="22"/>
              </w:rPr>
            </w:pPr>
          </w:p>
        </w:tc>
        <w:tc>
          <w:tcPr>
            <w:tcW w:w="3665" w:type="dxa"/>
            <w:tcBorders>
              <w:top w:val="single" w:sz="12" w:space="0" w:color="000000"/>
              <w:left w:val="single" w:sz="12" w:space="0" w:color="000000"/>
              <w:bottom w:val="single" w:sz="12" w:space="0" w:color="000000"/>
              <w:right w:val="single" w:sz="12" w:space="0" w:color="000000"/>
            </w:tcBorders>
          </w:tcPr>
          <w:p w14:paraId="2ACA1729" w14:textId="77777777" w:rsidR="00480115" w:rsidRDefault="00E45D5E">
            <w:pPr>
              <w:tabs>
                <w:tab w:val="left" w:pos="426"/>
              </w:tabs>
              <w:spacing w:line="276" w:lineRule="auto"/>
              <w:jc w:val="both"/>
              <w:rPr>
                <w:sz w:val="22"/>
                <w:szCs w:val="22"/>
              </w:rPr>
            </w:pPr>
            <w:r>
              <w:rPr>
                <w:sz w:val="22"/>
                <w:szCs w:val="22"/>
              </w:rPr>
              <w:t>знання історії української державності</w:t>
            </w:r>
          </w:p>
        </w:tc>
        <w:tc>
          <w:tcPr>
            <w:tcW w:w="1829" w:type="dxa"/>
            <w:tcBorders>
              <w:top w:val="single" w:sz="12" w:space="0" w:color="000000"/>
              <w:left w:val="single" w:sz="12" w:space="0" w:color="000000"/>
              <w:bottom w:val="single" w:sz="12" w:space="0" w:color="000000"/>
              <w:right w:val="single" w:sz="12" w:space="0" w:color="000000"/>
            </w:tcBorders>
            <w:vAlign w:val="center"/>
          </w:tcPr>
          <w:p w14:paraId="25E75923" w14:textId="77777777" w:rsidR="00480115" w:rsidRDefault="00E45D5E">
            <w:pPr>
              <w:tabs>
                <w:tab w:val="left" w:pos="426"/>
              </w:tabs>
              <w:spacing w:line="276" w:lineRule="auto"/>
              <w:jc w:val="center"/>
              <w:rPr>
                <w:sz w:val="22"/>
                <w:szCs w:val="22"/>
              </w:rPr>
            </w:pPr>
            <w:r>
              <w:rPr>
                <w:sz w:val="22"/>
                <w:szCs w:val="22"/>
              </w:rPr>
              <w:t>40</w:t>
            </w:r>
          </w:p>
        </w:tc>
        <w:tc>
          <w:tcPr>
            <w:tcW w:w="2362" w:type="dxa"/>
            <w:vMerge/>
            <w:tcBorders>
              <w:top w:val="single" w:sz="12" w:space="0" w:color="000000"/>
              <w:left w:val="single" w:sz="12" w:space="0" w:color="000000"/>
              <w:bottom w:val="single" w:sz="12" w:space="0" w:color="000000"/>
              <w:right w:val="single" w:sz="12" w:space="0" w:color="000000"/>
            </w:tcBorders>
            <w:vAlign w:val="center"/>
          </w:tcPr>
          <w:p w14:paraId="37535401" w14:textId="77777777" w:rsidR="00480115" w:rsidRDefault="00480115">
            <w:pPr>
              <w:tabs>
                <w:tab w:val="left" w:pos="426"/>
              </w:tabs>
              <w:spacing w:line="276" w:lineRule="auto"/>
              <w:jc w:val="center"/>
              <w:rPr>
                <w:sz w:val="22"/>
                <w:szCs w:val="22"/>
                <w:highlight w:val="yellow"/>
              </w:rPr>
            </w:pPr>
          </w:p>
        </w:tc>
      </w:tr>
      <w:tr w:rsidR="00480115" w14:paraId="6A649055" w14:textId="77777777">
        <w:tc>
          <w:tcPr>
            <w:tcW w:w="1695" w:type="dxa"/>
            <w:vMerge/>
            <w:tcBorders>
              <w:top w:val="single" w:sz="12" w:space="0" w:color="000000"/>
              <w:left w:val="single" w:sz="12" w:space="0" w:color="000000"/>
              <w:bottom w:val="single" w:sz="12" w:space="0" w:color="000000"/>
              <w:right w:val="single" w:sz="12" w:space="0" w:color="000000"/>
            </w:tcBorders>
          </w:tcPr>
          <w:p w14:paraId="7D5E5AA5" w14:textId="77777777" w:rsidR="00480115" w:rsidRDefault="00480115">
            <w:pPr>
              <w:tabs>
                <w:tab w:val="left" w:pos="426"/>
              </w:tabs>
              <w:spacing w:line="276" w:lineRule="auto"/>
              <w:jc w:val="both"/>
              <w:rPr>
                <w:b/>
                <w:sz w:val="22"/>
                <w:szCs w:val="22"/>
              </w:rPr>
            </w:pPr>
          </w:p>
        </w:tc>
        <w:tc>
          <w:tcPr>
            <w:tcW w:w="3665" w:type="dxa"/>
            <w:tcBorders>
              <w:top w:val="single" w:sz="12" w:space="0" w:color="000000"/>
              <w:left w:val="single" w:sz="12" w:space="0" w:color="000000"/>
              <w:bottom w:val="single" w:sz="12" w:space="0" w:color="000000"/>
              <w:right w:val="single" w:sz="12" w:space="0" w:color="000000"/>
            </w:tcBorders>
          </w:tcPr>
          <w:p w14:paraId="27C87A3B" w14:textId="77777777" w:rsidR="00480115" w:rsidRDefault="00E45D5E">
            <w:pPr>
              <w:tabs>
                <w:tab w:val="left" w:pos="426"/>
              </w:tabs>
              <w:spacing w:line="276" w:lineRule="auto"/>
              <w:jc w:val="both"/>
              <w:rPr>
                <w:sz w:val="22"/>
                <w:szCs w:val="22"/>
              </w:rPr>
            </w:pPr>
            <w:r>
              <w:rPr>
                <w:sz w:val="22"/>
                <w:szCs w:val="22"/>
              </w:rPr>
              <w:t>знання у сфері права та спеціалізації суду</w:t>
            </w:r>
          </w:p>
        </w:tc>
        <w:tc>
          <w:tcPr>
            <w:tcW w:w="1829" w:type="dxa"/>
            <w:tcBorders>
              <w:top w:val="single" w:sz="12" w:space="0" w:color="000000"/>
              <w:left w:val="single" w:sz="12" w:space="0" w:color="000000"/>
              <w:bottom w:val="single" w:sz="12" w:space="0" w:color="000000"/>
              <w:right w:val="single" w:sz="12" w:space="0" w:color="000000"/>
            </w:tcBorders>
            <w:vAlign w:val="center"/>
          </w:tcPr>
          <w:p w14:paraId="510600E0" w14:textId="77777777" w:rsidR="00480115" w:rsidRDefault="00E45D5E">
            <w:pPr>
              <w:tabs>
                <w:tab w:val="left" w:pos="426"/>
              </w:tabs>
              <w:spacing w:line="276" w:lineRule="auto"/>
              <w:jc w:val="center"/>
              <w:rPr>
                <w:sz w:val="22"/>
                <w:szCs w:val="22"/>
              </w:rPr>
            </w:pPr>
            <w:r>
              <w:rPr>
                <w:sz w:val="22"/>
                <w:szCs w:val="22"/>
              </w:rPr>
              <w:t>146</w:t>
            </w:r>
          </w:p>
        </w:tc>
        <w:tc>
          <w:tcPr>
            <w:tcW w:w="2362" w:type="dxa"/>
            <w:vMerge/>
            <w:tcBorders>
              <w:top w:val="single" w:sz="12" w:space="0" w:color="000000"/>
              <w:left w:val="single" w:sz="12" w:space="0" w:color="000000"/>
              <w:bottom w:val="single" w:sz="12" w:space="0" w:color="000000"/>
              <w:right w:val="single" w:sz="12" w:space="0" w:color="000000"/>
            </w:tcBorders>
            <w:vAlign w:val="center"/>
          </w:tcPr>
          <w:p w14:paraId="6E5C6A3D" w14:textId="77777777" w:rsidR="00480115" w:rsidRDefault="00480115">
            <w:pPr>
              <w:tabs>
                <w:tab w:val="left" w:pos="426"/>
              </w:tabs>
              <w:spacing w:line="276" w:lineRule="auto"/>
              <w:jc w:val="center"/>
              <w:rPr>
                <w:sz w:val="22"/>
                <w:szCs w:val="22"/>
                <w:highlight w:val="yellow"/>
              </w:rPr>
            </w:pPr>
          </w:p>
        </w:tc>
      </w:tr>
      <w:tr w:rsidR="00480115" w14:paraId="581F25D9" w14:textId="77777777">
        <w:tc>
          <w:tcPr>
            <w:tcW w:w="1695" w:type="dxa"/>
            <w:vMerge/>
            <w:tcBorders>
              <w:top w:val="single" w:sz="12" w:space="0" w:color="000000"/>
              <w:left w:val="single" w:sz="12" w:space="0" w:color="000000"/>
              <w:bottom w:val="single" w:sz="12" w:space="0" w:color="000000"/>
              <w:right w:val="single" w:sz="12" w:space="0" w:color="000000"/>
            </w:tcBorders>
          </w:tcPr>
          <w:p w14:paraId="2F01F58E" w14:textId="77777777" w:rsidR="00480115" w:rsidRDefault="00480115">
            <w:pPr>
              <w:tabs>
                <w:tab w:val="left" w:pos="426"/>
              </w:tabs>
              <w:spacing w:line="276" w:lineRule="auto"/>
              <w:jc w:val="both"/>
              <w:rPr>
                <w:b/>
                <w:sz w:val="22"/>
                <w:szCs w:val="22"/>
              </w:rPr>
            </w:pPr>
          </w:p>
        </w:tc>
        <w:tc>
          <w:tcPr>
            <w:tcW w:w="3665" w:type="dxa"/>
            <w:tcBorders>
              <w:top w:val="single" w:sz="12" w:space="0" w:color="000000"/>
              <w:left w:val="single" w:sz="12" w:space="0" w:color="000000"/>
              <w:bottom w:val="single" w:sz="12" w:space="0" w:color="000000"/>
              <w:right w:val="single" w:sz="12" w:space="0" w:color="000000"/>
            </w:tcBorders>
          </w:tcPr>
          <w:p w14:paraId="793618E8" w14:textId="77777777" w:rsidR="00480115" w:rsidRDefault="00E45D5E">
            <w:pPr>
              <w:tabs>
                <w:tab w:val="left" w:pos="426"/>
              </w:tabs>
              <w:spacing w:line="276" w:lineRule="auto"/>
              <w:jc w:val="both"/>
              <w:rPr>
                <w:sz w:val="22"/>
                <w:szCs w:val="22"/>
              </w:rPr>
            </w:pPr>
            <w:r>
              <w:rPr>
                <w:sz w:val="22"/>
                <w:szCs w:val="22"/>
              </w:rPr>
              <w:t>здатність практичного застосування знань у сфері права у суді відповідного рівня та спеціалізації</w:t>
            </w:r>
          </w:p>
        </w:tc>
        <w:tc>
          <w:tcPr>
            <w:tcW w:w="1829" w:type="dxa"/>
            <w:tcBorders>
              <w:top w:val="single" w:sz="12" w:space="0" w:color="000000"/>
              <w:left w:val="single" w:sz="12" w:space="0" w:color="000000"/>
              <w:bottom w:val="single" w:sz="12" w:space="0" w:color="000000"/>
              <w:right w:val="single" w:sz="12" w:space="0" w:color="000000"/>
            </w:tcBorders>
            <w:vAlign w:val="center"/>
          </w:tcPr>
          <w:p w14:paraId="2B6671B2" w14:textId="77777777" w:rsidR="00480115" w:rsidRDefault="00E45D5E">
            <w:pPr>
              <w:tabs>
                <w:tab w:val="left" w:pos="426"/>
              </w:tabs>
              <w:spacing w:line="276" w:lineRule="auto"/>
              <w:jc w:val="center"/>
              <w:rPr>
                <w:sz w:val="22"/>
                <w:szCs w:val="22"/>
              </w:rPr>
            </w:pPr>
            <w:r>
              <w:rPr>
                <w:sz w:val="22"/>
                <w:szCs w:val="22"/>
              </w:rPr>
              <w:t>131</w:t>
            </w:r>
          </w:p>
        </w:tc>
        <w:tc>
          <w:tcPr>
            <w:tcW w:w="2362" w:type="dxa"/>
            <w:vMerge/>
            <w:tcBorders>
              <w:top w:val="single" w:sz="12" w:space="0" w:color="000000"/>
              <w:left w:val="single" w:sz="12" w:space="0" w:color="000000"/>
              <w:bottom w:val="single" w:sz="12" w:space="0" w:color="000000"/>
              <w:right w:val="single" w:sz="12" w:space="0" w:color="000000"/>
            </w:tcBorders>
            <w:vAlign w:val="center"/>
          </w:tcPr>
          <w:p w14:paraId="1424856B" w14:textId="77777777" w:rsidR="00480115" w:rsidRDefault="00480115">
            <w:pPr>
              <w:tabs>
                <w:tab w:val="left" w:pos="426"/>
              </w:tabs>
              <w:spacing w:line="276" w:lineRule="auto"/>
              <w:jc w:val="center"/>
              <w:rPr>
                <w:sz w:val="22"/>
                <w:szCs w:val="22"/>
                <w:highlight w:val="yellow"/>
              </w:rPr>
            </w:pPr>
          </w:p>
        </w:tc>
      </w:tr>
      <w:tr w:rsidR="00480115" w14:paraId="66062E4E" w14:textId="77777777">
        <w:tc>
          <w:tcPr>
            <w:tcW w:w="1695" w:type="dxa"/>
            <w:vMerge w:val="restart"/>
            <w:tcBorders>
              <w:top w:val="single" w:sz="12" w:space="0" w:color="000000"/>
              <w:left w:val="single" w:sz="12" w:space="0" w:color="000000"/>
              <w:bottom w:val="single" w:sz="12" w:space="0" w:color="000000"/>
              <w:right w:val="single" w:sz="12" w:space="0" w:color="000000"/>
            </w:tcBorders>
            <w:vAlign w:val="center"/>
          </w:tcPr>
          <w:p w14:paraId="3DFBD6B7" w14:textId="77777777" w:rsidR="00480115" w:rsidRDefault="00E45D5E">
            <w:pPr>
              <w:tabs>
                <w:tab w:val="left" w:pos="426"/>
              </w:tabs>
              <w:spacing w:line="276" w:lineRule="auto"/>
              <w:rPr>
                <w:sz w:val="22"/>
                <w:szCs w:val="22"/>
              </w:rPr>
            </w:pPr>
            <w:r>
              <w:rPr>
                <w:sz w:val="22"/>
                <w:szCs w:val="22"/>
              </w:rPr>
              <w:t>особиста компетентність</w:t>
            </w:r>
          </w:p>
        </w:tc>
        <w:tc>
          <w:tcPr>
            <w:tcW w:w="3665" w:type="dxa"/>
            <w:tcBorders>
              <w:top w:val="single" w:sz="12" w:space="0" w:color="000000"/>
              <w:left w:val="single" w:sz="12" w:space="0" w:color="000000"/>
              <w:bottom w:val="single" w:sz="12" w:space="0" w:color="000000"/>
              <w:right w:val="single" w:sz="12" w:space="0" w:color="000000"/>
            </w:tcBorders>
          </w:tcPr>
          <w:p w14:paraId="0168FF01" w14:textId="77777777" w:rsidR="00480115" w:rsidRDefault="00E45D5E">
            <w:pPr>
              <w:tabs>
                <w:tab w:val="left" w:pos="426"/>
              </w:tabs>
              <w:spacing w:line="276" w:lineRule="auto"/>
              <w:jc w:val="both"/>
              <w:rPr>
                <w:sz w:val="22"/>
                <w:szCs w:val="22"/>
              </w:rPr>
            </w:pPr>
            <w:r>
              <w:rPr>
                <w:sz w:val="22"/>
                <w:szCs w:val="22"/>
              </w:rPr>
              <w:t>рішучість та відповідальність</w:t>
            </w:r>
          </w:p>
        </w:tc>
        <w:tc>
          <w:tcPr>
            <w:tcW w:w="1829" w:type="dxa"/>
            <w:tcBorders>
              <w:top w:val="single" w:sz="12" w:space="0" w:color="000000"/>
              <w:left w:val="single" w:sz="12" w:space="0" w:color="000000"/>
              <w:bottom w:val="single" w:sz="12" w:space="0" w:color="000000"/>
              <w:right w:val="single" w:sz="12" w:space="0" w:color="000000"/>
            </w:tcBorders>
            <w:vAlign w:val="center"/>
          </w:tcPr>
          <w:p w14:paraId="340B78A5" w14:textId="77777777" w:rsidR="00480115" w:rsidRDefault="00E45D5E">
            <w:pPr>
              <w:tabs>
                <w:tab w:val="left" w:pos="426"/>
              </w:tabs>
              <w:spacing w:line="276" w:lineRule="auto"/>
              <w:jc w:val="center"/>
              <w:rPr>
                <w:sz w:val="22"/>
                <w:szCs w:val="22"/>
              </w:rPr>
            </w:pPr>
            <w:r>
              <w:rPr>
                <w:sz w:val="22"/>
                <w:szCs w:val="22"/>
              </w:rPr>
              <w:t>21</w:t>
            </w:r>
          </w:p>
        </w:tc>
        <w:tc>
          <w:tcPr>
            <w:tcW w:w="2362" w:type="dxa"/>
            <w:vMerge w:val="restart"/>
            <w:tcBorders>
              <w:top w:val="single" w:sz="12" w:space="0" w:color="000000"/>
              <w:left w:val="single" w:sz="12" w:space="0" w:color="000000"/>
              <w:bottom w:val="single" w:sz="12" w:space="0" w:color="000000"/>
              <w:right w:val="single" w:sz="12" w:space="0" w:color="000000"/>
            </w:tcBorders>
            <w:vAlign w:val="center"/>
          </w:tcPr>
          <w:p w14:paraId="37201D06" w14:textId="77777777" w:rsidR="00480115" w:rsidRDefault="00E45D5E">
            <w:pPr>
              <w:tabs>
                <w:tab w:val="left" w:pos="426"/>
              </w:tabs>
              <w:spacing w:line="276" w:lineRule="auto"/>
              <w:jc w:val="center"/>
              <w:rPr>
                <w:sz w:val="22"/>
                <w:szCs w:val="22"/>
              </w:rPr>
            </w:pPr>
            <w:r>
              <w:rPr>
                <w:sz w:val="22"/>
                <w:szCs w:val="22"/>
              </w:rPr>
              <w:t>41</w:t>
            </w:r>
          </w:p>
        </w:tc>
      </w:tr>
      <w:tr w:rsidR="00480115" w14:paraId="061B7A2D" w14:textId="77777777">
        <w:tc>
          <w:tcPr>
            <w:tcW w:w="1695" w:type="dxa"/>
            <w:vMerge/>
            <w:tcBorders>
              <w:top w:val="single" w:sz="12" w:space="0" w:color="000000"/>
              <w:left w:val="single" w:sz="12" w:space="0" w:color="000000"/>
              <w:bottom w:val="single" w:sz="12" w:space="0" w:color="000000"/>
              <w:right w:val="single" w:sz="12" w:space="0" w:color="000000"/>
            </w:tcBorders>
          </w:tcPr>
          <w:p w14:paraId="162B54A2" w14:textId="77777777" w:rsidR="00480115" w:rsidRDefault="00480115">
            <w:pPr>
              <w:tabs>
                <w:tab w:val="left" w:pos="426"/>
              </w:tabs>
              <w:spacing w:line="276" w:lineRule="auto"/>
              <w:jc w:val="both"/>
              <w:rPr>
                <w:b/>
                <w:sz w:val="22"/>
                <w:szCs w:val="22"/>
              </w:rPr>
            </w:pPr>
          </w:p>
        </w:tc>
        <w:tc>
          <w:tcPr>
            <w:tcW w:w="3665" w:type="dxa"/>
            <w:tcBorders>
              <w:top w:val="single" w:sz="12" w:space="0" w:color="000000"/>
              <w:left w:val="single" w:sz="12" w:space="0" w:color="000000"/>
              <w:bottom w:val="single" w:sz="12" w:space="0" w:color="000000"/>
              <w:right w:val="single" w:sz="12" w:space="0" w:color="000000"/>
            </w:tcBorders>
          </w:tcPr>
          <w:p w14:paraId="175A8CB7" w14:textId="77777777" w:rsidR="00480115" w:rsidRDefault="00E45D5E">
            <w:pPr>
              <w:tabs>
                <w:tab w:val="left" w:pos="426"/>
              </w:tabs>
              <w:spacing w:line="276" w:lineRule="auto"/>
              <w:jc w:val="both"/>
              <w:rPr>
                <w:sz w:val="22"/>
                <w:szCs w:val="22"/>
              </w:rPr>
            </w:pPr>
            <w:r>
              <w:rPr>
                <w:sz w:val="22"/>
                <w:szCs w:val="22"/>
              </w:rPr>
              <w:t>безперервний розвиток</w:t>
            </w:r>
          </w:p>
        </w:tc>
        <w:tc>
          <w:tcPr>
            <w:tcW w:w="1829" w:type="dxa"/>
            <w:tcBorders>
              <w:top w:val="single" w:sz="12" w:space="0" w:color="000000"/>
              <w:left w:val="single" w:sz="12" w:space="0" w:color="000000"/>
              <w:bottom w:val="single" w:sz="12" w:space="0" w:color="000000"/>
              <w:right w:val="single" w:sz="12" w:space="0" w:color="000000"/>
            </w:tcBorders>
            <w:vAlign w:val="center"/>
          </w:tcPr>
          <w:p w14:paraId="07D5155C" w14:textId="77777777" w:rsidR="00480115" w:rsidRDefault="00E45D5E">
            <w:pPr>
              <w:tabs>
                <w:tab w:val="left" w:pos="426"/>
              </w:tabs>
              <w:spacing w:line="276" w:lineRule="auto"/>
              <w:jc w:val="center"/>
              <w:rPr>
                <w:sz w:val="22"/>
                <w:szCs w:val="22"/>
              </w:rPr>
            </w:pPr>
            <w:r>
              <w:rPr>
                <w:sz w:val="22"/>
                <w:szCs w:val="22"/>
              </w:rPr>
              <w:t>20</w:t>
            </w:r>
          </w:p>
        </w:tc>
        <w:tc>
          <w:tcPr>
            <w:tcW w:w="2362" w:type="dxa"/>
            <w:vMerge/>
            <w:tcBorders>
              <w:top w:val="single" w:sz="12" w:space="0" w:color="000000"/>
              <w:left w:val="single" w:sz="12" w:space="0" w:color="000000"/>
              <w:bottom w:val="single" w:sz="12" w:space="0" w:color="000000"/>
              <w:right w:val="single" w:sz="12" w:space="0" w:color="000000"/>
            </w:tcBorders>
            <w:vAlign w:val="center"/>
          </w:tcPr>
          <w:p w14:paraId="14A12BD6" w14:textId="77777777" w:rsidR="00480115" w:rsidRDefault="00480115">
            <w:pPr>
              <w:tabs>
                <w:tab w:val="left" w:pos="426"/>
              </w:tabs>
              <w:spacing w:line="276" w:lineRule="auto"/>
              <w:jc w:val="center"/>
              <w:rPr>
                <w:sz w:val="22"/>
                <w:szCs w:val="22"/>
              </w:rPr>
            </w:pPr>
          </w:p>
        </w:tc>
      </w:tr>
      <w:tr w:rsidR="00480115" w14:paraId="556E504E" w14:textId="77777777">
        <w:tc>
          <w:tcPr>
            <w:tcW w:w="1695" w:type="dxa"/>
            <w:vMerge w:val="restart"/>
            <w:tcBorders>
              <w:top w:val="single" w:sz="12" w:space="0" w:color="000000"/>
              <w:left w:val="single" w:sz="12" w:space="0" w:color="000000"/>
              <w:bottom w:val="single" w:sz="12" w:space="0" w:color="000000"/>
              <w:right w:val="single" w:sz="12" w:space="0" w:color="000000"/>
            </w:tcBorders>
            <w:vAlign w:val="center"/>
          </w:tcPr>
          <w:p w14:paraId="672AC41F" w14:textId="77777777" w:rsidR="00480115" w:rsidRDefault="00E45D5E">
            <w:pPr>
              <w:tabs>
                <w:tab w:val="left" w:pos="426"/>
              </w:tabs>
              <w:spacing w:line="276" w:lineRule="auto"/>
              <w:rPr>
                <w:sz w:val="22"/>
                <w:szCs w:val="22"/>
              </w:rPr>
            </w:pPr>
            <w:r>
              <w:rPr>
                <w:sz w:val="22"/>
                <w:szCs w:val="22"/>
              </w:rPr>
              <w:t>соціальна компетентність</w:t>
            </w:r>
          </w:p>
        </w:tc>
        <w:tc>
          <w:tcPr>
            <w:tcW w:w="3665" w:type="dxa"/>
            <w:tcBorders>
              <w:top w:val="single" w:sz="12" w:space="0" w:color="000000"/>
              <w:left w:val="single" w:sz="12" w:space="0" w:color="000000"/>
              <w:bottom w:val="single" w:sz="12" w:space="0" w:color="000000"/>
              <w:right w:val="single" w:sz="12" w:space="0" w:color="000000"/>
            </w:tcBorders>
          </w:tcPr>
          <w:p w14:paraId="6EB2C6CE" w14:textId="77777777" w:rsidR="00480115" w:rsidRDefault="00E45D5E">
            <w:pPr>
              <w:tabs>
                <w:tab w:val="left" w:pos="426"/>
              </w:tabs>
              <w:spacing w:line="276" w:lineRule="auto"/>
              <w:jc w:val="both"/>
              <w:rPr>
                <w:sz w:val="22"/>
                <w:szCs w:val="22"/>
              </w:rPr>
            </w:pPr>
            <w:r>
              <w:rPr>
                <w:sz w:val="22"/>
                <w:szCs w:val="22"/>
              </w:rPr>
              <w:t>ефективна комунікація</w:t>
            </w:r>
          </w:p>
        </w:tc>
        <w:tc>
          <w:tcPr>
            <w:tcW w:w="1829" w:type="dxa"/>
            <w:tcBorders>
              <w:top w:val="single" w:sz="12" w:space="0" w:color="000000"/>
              <w:left w:val="single" w:sz="12" w:space="0" w:color="000000"/>
              <w:bottom w:val="single" w:sz="12" w:space="0" w:color="000000"/>
              <w:right w:val="single" w:sz="12" w:space="0" w:color="000000"/>
            </w:tcBorders>
            <w:vAlign w:val="center"/>
          </w:tcPr>
          <w:p w14:paraId="5B81BC1A" w14:textId="77777777" w:rsidR="00480115" w:rsidRDefault="00E45D5E">
            <w:pPr>
              <w:tabs>
                <w:tab w:val="left" w:pos="426"/>
              </w:tabs>
              <w:spacing w:line="276" w:lineRule="auto"/>
              <w:jc w:val="center"/>
              <w:rPr>
                <w:sz w:val="22"/>
                <w:szCs w:val="22"/>
              </w:rPr>
            </w:pPr>
            <w:r>
              <w:rPr>
                <w:sz w:val="22"/>
                <w:szCs w:val="22"/>
              </w:rPr>
              <w:t>9,67</w:t>
            </w:r>
          </w:p>
        </w:tc>
        <w:tc>
          <w:tcPr>
            <w:tcW w:w="2362" w:type="dxa"/>
            <w:vMerge w:val="restart"/>
            <w:tcBorders>
              <w:top w:val="single" w:sz="12" w:space="0" w:color="000000"/>
              <w:left w:val="single" w:sz="12" w:space="0" w:color="000000"/>
              <w:bottom w:val="single" w:sz="12" w:space="0" w:color="000000"/>
              <w:right w:val="single" w:sz="12" w:space="0" w:color="000000"/>
            </w:tcBorders>
            <w:vAlign w:val="center"/>
          </w:tcPr>
          <w:p w14:paraId="1B1A279C" w14:textId="77777777" w:rsidR="00480115" w:rsidRDefault="00E45D5E">
            <w:pPr>
              <w:tabs>
                <w:tab w:val="left" w:pos="426"/>
              </w:tabs>
              <w:spacing w:line="276" w:lineRule="auto"/>
              <w:jc w:val="center"/>
              <w:rPr>
                <w:sz w:val="22"/>
                <w:szCs w:val="22"/>
              </w:rPr>
            </w:pPr>
            <w:r>
              <w:rPr>
                <w:sz w:val="22"/>
                <w:szCs w:val="22"/>
              </w:rPr>
              <w:t>40,34</w:t>
            </w:r>
          </w:p>
        </w:tc>
      </w:tr>
      <w:tr w:rsidR="00480115" w14:paraId="401A2CC2" w14:textId="77777777">
        <w:tc>
          <w:tcPr>
            <w:tcW w:w="1695" w:type="dxa"/>
            <w:vMerge/>
            <w:tcBorders>
              <w:top w:val="single" w:sz="12" w:space="0" w:color="000000"/>
              <w:left w:val="single" w:sz="12" w:space="0" w:color="000000"/>
              <w:bottom w:val="single" w:sz="12" w:space="0" w:color="000000"/>
              <w:right w:val="single" w:sz="12" w:space="0" w:color="000000"/>
            </w:tcBorders>
          </w:tcPr>
          <w:p w14:paraId="040BA8DD" w14:textId="77777777" w:rsidR="00480115" w:rsidRDefault="00480115">
            <w:pPr>
              <w:tabs>
                <w:tab w:val="left" w:pos="426"/>
              </w:tabs>
              <w:spacing w:line="276" w:lineRule="auto"/>
              <w:jc w:val="both"/>
              <w:rPr>
                <w:sz w:val="22"/>
                <w:szCs w:val="22"/>
              </w:rPr>
            </w:pPr>
          </w:p>
        </w:tc>
        <w:tc>
          <w:tcPr>
            <w:tcW w:w="3665" w:type="dxa"/>
            <w:tcBorders>
              <w:top w:val="single" w:sz="12" w:space="0" w:color="000000"/>
              <w:left w:val="single" w:sz="12" w:space="0" w:color="000000"/>
              <w:bottom w:val="single" w:sz="12" w:space="0" w:color="000000"/>
              <w:right w:val="single" w:sz="12" w:space="0" w:color="000000"/>
            </w:tcBorders>
          </w:tcPr>
          <w:p w14:paraId="4E59E8AC" w14:textId="77777777" w:rsidR="00480115" w:rsidRDefault="00E45D5E">
            <w:pPr>
              <w:tabs>
                <w:tab w:val="left" w:pos="426"/>
              </w:tabs>
              <w:spacing w:line="276" w:lineRule="auto"/>
              <w:jc w:val="both"/>
              <w:rPr>
                <w:sz w:val="22"/>
                <w:szCs w:val="22"/>
              </w:rPr>
            </w:pPr>
            <w:r>
              <w:rPr>
                <w:sz w:val="22"/>
                <w:szCs w:val="22"/>
              </w:rPr>
              <w:t>ефективна взаємодія</w:t>
            </w:r>
          </w:p>
        </w:tc>
        <w:tc>
          <w:tcPr>
            <w:tcW w:w="1829" w:type="dxa"/>
            <w:tcBorders>
              <w:top w:val="single" w:sz="12" w:space="0" w:color="000000"/>
              <w:left w:val="single" w:sz="12" w:space="0" w:color="000000"/>
              <w:bottom w:val="single" w:sz="12" w:space="0" w:color="000000"/>
              <w:right w:val="single" w:sz="12" w:space="0" w:color="000000"/>
            </w:tcBorders>
            <w:vAlign w:val="center"/>
          </w:tcPr>
          <w:p w14:paraId="6A3FE5C6" w14:textId="77777777" w:rsidR="00480115" w:rsidRDefault="00E45D5E">
            <w:pPr>
              <w:tabs>
                <w:tab w:val="left" w:pos="426"/>
              </w:tabs>
              <w:spacing w:line="276" w:lineRule="auto"/>
              <w:jc w:val="center"/>
              <w:rPr>
                <w:sz w:val="22"/>
                <w:szCs w:val="22"/>
              </w:rPr>
            </w:pPr>
            <w:r>
              <w:rPr>
                <w:sz w:val="22"/>
                <w:szCs w:val="22"/>
              </w:rPr>
              <w:t>9,67</w:t>
            </w:r>
          </w:p>
        </w:tc>
        <w:tc>
          <w:tcPr>
            <w:tcW w:w="2362" w:type="dxa"/>
            <w:vMerge/>
            <w:tcBorders>
              <w:top w:val="single" w:sz="12" w:space="0" w:color="000000"/>
              <w:left w:val="single" w:sz="12" w:space="0" w:color="000000"/>
              <w:bottom w:val="single" w:sz="12" w:space="0" w:color="000000"/>
              <w:right w:val="single" w:sz="12" w:space="0" w:color="000000"/>
            </w:tcBorders>
            <w:vAlign w:val="center"/>
          </w:tcPr>
          <w:p w14:paraId="305ECE39" w14:textId="77777777" w:rsidR="00480115" w:rsidRDefault="00480115">
            <w:pPr>
              <w:tabs>
                <w:tab w:val="left" w:pos="426"/>
              </w:tabs>
              <w:spacing w:line="276" w:lineRule="auto"/>
              <w:jc w:val="center"/>
              <w:rPr>
                <w:sz w:val="22"/>
                <w:szCs w:val="22"/>
                <w:highlight w:val="yellow"/>
              </w:rPr>
            </w:pPr>
          </w:p>
        </w:tc>
      </w:tr>
      <w:tr w:rsidR="00480115" w14:paraId="464AE1D4" w14:textId="77777777">
        <w:trPr>
          <w:trHeight w:val="50"/>
        </w:trPr>
        <w:tc>
          <w:tcPr>
            <w:tcW w:w="1695" w:type="dxa"/>
            <w:vMerge/>
            <w:tcBorders>
              <w:top w:val="single" w:sz="12" w:space="0" w:color="000000"/>
              <w:left w:val="single" w:sz="12" w:space="0" w:color="000000"/>
              <w:bottom w:val="single" w:sz="12" w:space="0" w:color="000000"/>
              <w:right w:val="single" w:sz="12" w:space="0" w:color="000000"/>
            </w:tcBorders>
          </w:tcPr>
          <w:p w14:paraId="4733F654" w14:textId="77777777" w:rsidR="00480115" w:rsidRDefault="00480115">
            <w:pPr>
              <w:tabs>
                <w:tab w:val="left" w:pos="426"/>
              </w:tabs>
              <w:spacing w:line="276" w:lineRule="auto"/>
              <w:jc w:val="both"/>
              <w:rPr>
                <w:sz w:val="22"/>
                <w:szCs w:val="22"/>
              </w:rPr>
            </w:pPr>
          </w:p>
        </w:tc>
        <w:tc>
          <w:tcPr>
            <w:tcW w:w="3665" w:type="dxa"/>
            <w:tcBorders>
              <w:top w:val="single" w:sz="12" w:space="0" w:color="000000"/>
              <w:left w:val="single" w:sz="12" w:space="0" w:color="000000"/>
              <w:bottom w:val="single" w:sz="12" w:space="0" w:color="000000"/>
              <w:right w:val="single" w:sz="12" w:space="0" w:color="000000"/>
            </w:tcBorders>
          </w:tcPr>
          <w:p w14:paraId="2F7DC4EA" w14:textId="77777777" w:rsidR="00480115" w:rsidRDefault="00E45D5E">
            <w:pPr>
              <w:tabs>
                <w:tab w:val="left" w:pos="426"/>
              </w:tabs>
              <w:spacing w:line="276" w:lineRule="auto"/>
              <w:jc w:val="both"/>
              <w:rPr>
                <w:sz w:val="22"/>
                <w:szCs w:val="22"/>
              </w:rPr>
            </w:pPr>
            <w:r>
              <w:rPr>
                <w:sz w:val="22"/>
                <w:szCs w:val="22"/>
              </w:rPr>
              <w:t>стійкість мотивації</w:t>
            </w:r>
          </w:p>
        </w:tc>
        <w:tc>
          <w:tcPr>
            <w:tcW w:w="1829" w:type="dxa"/>
            <w:tcBorders>
              <w:top w:val="single" w:sz="12" w:space="0" w:color="000000"/>
              <w:left w:val="single" w:sz="12" w:space="0" w:color="000000"/>
              <w:bottom w:val="single" w:sz="12" w:space="0" w:color="000000"/>
              <w:right w:val="single" w:sz="12" w:space="0" w:color="000000"/>
            </w:tcBorders>
            <w:vAlign w:val="center"/>
          </w:tcPr>
          <w:p w14:paraId="06F81B08" w14:textId="77777777" w:rsidR="00480115" w:rsidRDefault="00E45D5E">
            <w:pPr>
              <w:tabs>
                <w:tab w:val="left" w:pos="426"/>
              </w:tabs>
              <w:spacing w:line="276" w:lineRule="auto"/>
              <w:jc w:val="center"/>
              <w:rPr>
                <w:sz w:val="22"/>
                <w:szCs w:val="22"/>
              </w:rPr>
            </w:pPr>
            <w:r>
              <w:rPr>
                <w:sz w:val="22"/>
                <w:szCs w:val="22"/>
              </w:rPr>
              <w:t>11</w:t>
            </w:r>
          </w:p>
        </w:tc>
        <w:tc>
          <w:tcPr>
            <w:tcW w:w="2362" w:type="dxa"/>
            <w:vMerge/>
            <w:tcBorders>
              <w:top w:val="single" w:sz="12" w:space="0" w:color="000000"/>
              <w:left w:val="single" w:sz="12" w:space="0" w:color="000000"/>
              <w:bottom w:val="single" w:sz="12" w:space="0" w:color="000000"/>
              <w:right w:val="single" w:sz="12" w:space="0" w:color="000000"/>
            </w:tcBorders>
            <w:vAlign w:val="center"/>
          </w:tcPr>
          <w:p w14:paraId="7731A319" w14:textId="77777777" w:rsidR="00480115" w:rsidRDefault="00480115">
            <w:pPr>
              <w:tabs>
                <w:tab w:val="left" w:pos="426"/>
              </w:tabs>
              <w:spacing w:line="276" w:lineRule="auto"/>
              <w:jc w:val="center"/>
              <w:rPr>
                <w:sz w:val="22"/>
                <w:szCs w:val="22"/>
                <w:highlight w:val="yellow"/>
              </w:rPr>
            </w:pPr>
          </w:p>
        </w:tc>
      </w:tr>
      <w:tr w:rsidR="00480115" w14:paraId="37331900" w14:textId="77777777">
        <w:tc>
          <w:tcPr>
            <w:tcW w:w="1695" w:type="dxa"/>
            <w:vMerge/>
            <w:tcBorders>
              <w:top w:val="single" w:sz="12" w:space="0" w:color="000000"/>
              <w:left w:val="single" w:sz="12" w:space="0" w:color="000000"/>
              <w:bottom w:val="single" w:sz="12" w:space="0" w:color="000000"/>
              <w:right w:val="single" w:sz="12" w:space="0" w:color="000000"/>
            </w:tcBorders>
          </w:tcPr>
          <w:p w14:paraId="41C6637F" w14:textId="77777777" w:rsidR="00480115" w:rsidRDefault="00480115">
            <w:pPr>
              <w:tabs>
                <w:tab w:val="left" w:pos="426"/>
              </w:tabs>
              <w:spacing w:line="276" w:lineRule="auto"/>
              <w:jc w:val="both"/>
              <w:rPr>
                <w:sz w:val="22"/>
                <w:szCs w:val="22"/>
              </w:rPr>
            </w:pPr>
          </w:p>
        </w:tc>
        <w:tc>
          <w:tcPr>
            <w:tcW w:w="3665" w:type="dxa"/>
            <w:tcBorders>
              <w:top w:val="single" w:sz="12" w:space="0" w:color="000000"/>
              <w:left w:val="single" w:sz="12" w:space="0" w:color="000000"/>
              <w:bottom w:val="single" w:sz="12" w:space="0" w:color="000000"/>
              <w:right w:val="single" w:sz="12" w:space="0" w:color="000000"/>
            </w:tcBorders>
          </w:tcPr>
          <w:p w14:paraId="72E3E509" w14:textId="77777777" w:rsidR="00480115" w:rsidRDefault="00E45D5E">
            <w:pPr>
              <w:tabs>
                <w:tab w:val="left" w:pos="426"/>
              </w:tabs>
              <w:spacing w:line="276" w:lineRule="auto"/>
              <w:jc w:val="both"/>
              <w:rPr>
                <w:sz w:val="22"/>
                <w:szCs w:val="22"/>
              </w:rPr>
            </w:pPr>
            <w:r>
              <w:rPr>
                <w:sz w:val="22"/>
                <w:szCs w:val="22"/>
              </w:rPr>
              <w:t>емоційна стійкість</w:t>
            </w:r>
          </w:p>
        </w:tc>
        <w:tc>
          <w:tcPr>
            <w:tcW w:w="1829" w:type="dxa"/>
            <w:tcBorders>
              <w:top w:val="single" w:sz="12" w:space="0" w:color="000000"/>
              <w:left w:val="single" w:sz="12" w:space="0" w:color="000000"/>
              <w:bottom w:val="single" w:sz="12" w:space="0" w:color="000000"/>
              <w:right w:val="single" w:sz="12" w:space="0" w:color="000000"/>
            </w:tcBorders>
            <w:vAlign w:val="center"/>
          </w:tcPr>
          <w:p w14:paraId="2BD68BAC" w14:textId="77777777" w:rsidR="00480115" w:rsidRDefault="00E45D5E">
            <w:pPr>
              <w:tabs>
                <w:tab w:val="left" w:pos="426"/>
              </w:tabs>
              <w:spacing w:line="276" w:lineRule="auto"/>
              <w:jc w:val="center"/>
              <w:rPr>
                <w:sz w:val="22"/>
                <w:szCs w:val="22"/>
              </w:rPr>
            </w:pPr>
            <w:r>
              <w:rPr>
                <w:sz w:val="22"/>
                <w:szCs w:val="22"/>
              </w:rPr>
              <w:t>10</w:t>
            </w:r>
          </w:p>
        </w:tc>
        <w:tc>
          <w:tcPr>
            <w:tcW w:w="2362" w:type="dxa"/>
            <w:vMerge/>
            <w:tcBorders>
              <w:top w:val="single" w:sz="12" w:space="0" w:color="000000"/>
              <w:left w:val="single" w:sz="12" w:space="0" w:color="000000"/>
              <w:bottom w:val="single" w:sz="12" w:space="0" w:color="000000"/>
              <w:right w:val="single" w:sz="12" w:space="0" w:color="000000"/>
            </w:tcBorders>
            <w:vAlign w:val="center"/>
          </w:tcPr>
          <w:p w14:paraId="60B913A2" w14:textId="77777777" w:rsidR="00480115" w:rsidRDefault="00480115">
            <w:pPr>
              <w:tabs>
                <w:tab w:val="left" w:pos="426"/>
              </w:tabs>
              <w:spacing w:line="276" w:lineRule="auto"/>
              <w:jc w:val="center"/>
              <w:rPr>
                <w:sz w:val="22"/>
                <w:szCs w:val="22"/>
                <w:highlight w:val="yellow"/>
              </w:rPr>
            </w:pPr>
          </w:p>
        </w:tc>
      </w:tr>
      <w:tr w:rsidR="00480115" w14:paraId="4C4AAFEC" w14:textId="77777777">
        <w:tc>
          <w:tcPr>
            <w:tcW w:w="1695" w:type="dxa"/>
            <w:vMerge w:val="restart"/>
            <w:tcBorders>
              <w:top w:val="single" w:sz="12" w:space="0" w:color="000000"/>
              <w:left w:val="single" w:sz="12" w:space="0" w:color="000000"/>
              <w:bottom w:val="single" w:sz="12" w:space="0" w:color="000000"/>
              <w:right w:val="single" w:sz="12" w:space="0" w:color="000000"/>
            </w:tcBorders>
            <w:vAlign w:val="center"/>
          </w:tcPr>
          <w:p w14:paraId="3E52E519" w14:textId="77777777" w:rsidR="00480115" w:rsidRDefault="00480115">
            <w:pPr>
              <w:tabs>
                <w:tab w:val="left" w:pos="426"/>
              </w:tabs>
              <w:spacing w:line="276" w:lineRule="auto"/>
              <w:rPr>
                <w:sz w:val="22"/>
                <w:szCs w:val="22"/>
              </w:rPr>
            </w:pPr>
          </w:p>
          <w:p w14:paraId="0D2BD098" w14:textId="77777777" w:rsidR="00480115" w:rsidRDefault="00480115">
            <w:pPr>
              <w:tabs>
                <w:tab w:val="left" w:pos="426"/>
              </w:tabs>
              <w:spacing w:line="276" w:lineRule="auto"/>
              <w:rPr>
                <w:sz w:val="22"/>
                <w:szCs w:val="22"/>
              </w:rPr>
            </w:pPr>
          </w:p>
          <w:p w14:paraId="64EE08E5" w14:textId="77777777" w:rsidR="00480115" w:rsidRDefault="00E45D5E">
            <w:pPr>
              <w:tabs>
                <w:tab w:val="left" w:pos="426"/>
              </w:tabs>
              <w:spacing w:line="276" w:lineRule="auto"/>
              <w:rPr>
                <w:sz w:val="22"/>
                <w:szCs w:val="22"/>
              </w:rPr>
            </w:pPr>
            <w:r>
              <w:rPr>
                <w:sz w:val="22"/>
                <w:szCs w:val="22"/>
              </w:rPr>
              <w:t>доброчесність та професійна етика</w:t>
            </w:r>
          </w:p>
        </w:tc>
        <w:tc>
          <w:tcPr>
            <w:tcW w:w="3665" w:type="dxa"/>
            <w:tcBorders>
              <w:top w:val="single" w:sz="12" w:space="0" w:color="000000"/>
              <w:left w:val="single" w:sz="12" w:space="0" w:color="000000"/>
              <w:bottom w:val="single" w:sz="12" w:space="0" w:color="000000"/>
              <w:right w:val="single" w:sz="12" w:space="0" w:color="000000"/>
            </w:tcBorders>
          </w:tcPr>
          <w:p w14:paraId="1AD82371" w14:textId="77777777" w:rsidR="00480115" w:rsidRDefault="00E45D5E">
            <w:pPr>
              <w:tabs>
                <w:tab w:val="left" w:pos="426"/>
              </w:tabs>
              <w:spacing w:line="276" w:lineRule="auto"/>
              <w:jc w:val="both"/>
              <w:rPr>
                <w:sz w:val="22"/>
                <w:szCs w:val="22"/>
              </w:rPr>
            </w:pPr>
            <w:r>
              <w:rPr>
                <w:sz w:val="22"/>
                <w:szCs w:val="22"/>
              </w:rPr>
              <w:t>незалежність</w:t>
            </w:r>
          </w:p>
        </w:tc>
        <w:tc>
          <w:tcPr>
            <w:tcW w:w="1829" w:type="dxa"/>
            <w:vMerge w:val="restart"/>
            <w:tcBorders>
              <w:top w:val="single" w:sz="12" w:space="0" w:color="000000"/>
              <w:left w:val="single" w:sz="12" w:space="0" w:color="000000"/>
              <w:bottom w:val="single" w:sz="12" w:space="0" w:color="000000"/>
              <w:right w:val="single" w:sz="12" w:space="0" w:color="000000"/>
            </w:tcBorders>
            <w:shd w:val="clear" w:color="auto" w:fill="F2F2F2"/>
            <w:vAlign w:val="center"/>
          </w:tcPr>
          <w:p w14:paraId="70D46F41" w14:textId="77777777" w:rsidR="00480115" w:rsidRDefault="00480115">
            <w:pPr>
              <w:tabs>
                <w:tab w:val="left" w:pos="426"/>
              </w:tabs>
              <w:spacing w:line="276" w:lineRule="auto"/>
              <w:jc w:val="center"/>
              <w:rPr>
                <w:sz w:val="22"/>
                <w:szCs w:val="22"/>
                <w:highlight w:val="yellow"/>
              </w:rPr>
            </w:pPr>
          </w:p>
        </w:tc>
        <w:tc>
          <w:tcPr>
            <w:tcW w:w="2362" w:type="dxa"/>
            <w:vMerge w:val="restart"/>
            <w:tcBorders>
              <w:top w:val="single" w:sz="12" w:space="0" w:color="000000"/>
              <w:left w:val="single" w:sz="12" w:space="0" w:color="000000"/>
              <w:bottom w:val="single" w:sz="12" w:space="0" w:color="000000"/>
              <w:right w:val="single" w:sz="12" w:space="0" w:color="000000"/>
            </w:tcBorders>
            <w:vAlign w:val="center"/>
          </w:tcPr>
          <w:p w14:paraId="20BCFC36" w14:textId="77777777" w:rsidR="00480115" w:rsidRDefault="00480115">
            <w:pPr>
              <w:tabs>
                <w:tab w:val="left" w:pos="426"/>
              </w:tabs>
              <w:spacing w:line="276" w:lineRule="auto"/>
              <w:rPr>
                <w:sz w:val="22"/>
                <w:szCs w:val="22"/>
                <w:highlight w:val="yellow"/>
              </w:rPr>
            </w:pPr>
          </w:p>
          <w:p w14:paraId="0D24772A" w14:textId="77777777" w:rsidR="00480115" w:rsidRDefault="00E45D5E">
            <w:pPr>
              <w:tabs>
                <w:tab w:val="left" w:pos="426"/>
              </w:tabs>
              <w:spacing w:line="276" w:lineRule="auto"/>
              <w:jc w:val="center"/>
              <w:rPr>
                <w:sz w:val="22"/>
                <w:szCs w:val="22"/>
              </w:rPr>
            </w:pPr>
            <w:r>
              <w:rPr>
                <w:sz w:val="22"/>
                <w:szCs w:val="22"/>
              </w:rPr>
              <w:t>270</w:t>
            </w:r>
          </w:p>
          <w:p w14:paraId="4AFC4E0A" w14:textId="77777777" w:rsidR="00480115" w:rsidRDefault="00480115">
            <w:pPr>
              <w:tabs>
                <w:tab w:val="left" w:pos="426"/>
              </w:tabs>
              <w:spacing w:line="276" w:lineRule="auto"/>
              <w:jc w:val="center"/>
              <w:rPr>
                <w:sz w:val="22"/>
                <w:szCs w:val="22"/>
                <w:highlight w:val="yellow"/>
              </w:rPr>
            </w:pPr>
          </w:p>
        </w:tc>
      </w:tr>
      <w:tr w:rsidR="00480115" w14:paraId="0700D577" w14:textId="77777777">
        <w:tc>
          <w:tcPr>
            <w:tcW w:w="1695" w:type="dxa"/>
            <w:vMerge/>
            <w:tcBorders>
              <w:top w:val="single" w:sz="12" w:space="0" w:color="000000"/>
              <w:left w:val="single" w:sz="12" w:space="0" w:color="000000"/>
              <w:bottom w:val="single" w:sz="12" w:space="0" w:color="000000"/>
              <w:right w:val="single" w:sz="12" w:space="0" w:color="000000"/>
            </w:tcBorders>
          </w:tcPr>
          <w:p w14:paraId="684BC5DA" w14:textId="77777777" w:rsidR="00480115" w:rsidRDefault="00480115">
            <w:pPr>
              <w:tabs>
                <w:tab w:val="left" w:pos="426"/>
              </w:tabs>
              <w:spacing w:line="276" w:lineRule="auto"/>
              <w:jc w:val="both"/>
              <w:rPr>
                <w:sz w:val="22"/>
                <w:szCs w:val="22"/>
              </w:rPr>
            </w:pPr>
          </w:p>
        </w:tc>
        <w:tc>
          <w:tcPr>
            <w:tcW w:w="3665" w:type="dxa"/>
            <w:tcBorders>
              <w:top w:val="single" w:sz="12" w:space="0" w:color="000000"/>
              <w:left w:val="single" w:sz="12" w:space="0" w:color="000000"/>
              <w:bottom w:val="single" w:sz="12" w:space="0" w:color="000000"/>
              <w:right w:val="single" w:sz="12" w:space="0" w:color="000000"/>
            </w:tcBorders>
          </w:tcPr>
          <w:p w14:paraId="3DF22339" w14:textId="77777777" w:rsidR="00480115" w:rsidRDefault="00E45D5E">
            <w:pPr>
              <w:tabs>
                <w:tab w:val="left" w:pos="426"/>
              </w:tabs>
              <w:spacing w:line="276" w:lineRule="auto"/>
              <w:jc w:val="both"/>
              <w:rPr>
                <w:sz w:val="22"/>
                <w:szCs w:val="22"/>
              </w:rPr>
            </w:pPr>
            <w:r>
              <w:rPr>
                <w:sz w:val="22"/>
                <w:szCs w:val="22"/>
              </w:rPr>
              <w:t>чесність</w:t>
            </w:r>
          </w:p>
        </w:tc>
        <w:tc>
          <w:tcPr>
            <w:tcW w:w="1829" w:type="dxa"/>
            <w:vMerge/>
            <w:tcBorders>
              <w:top w:val="single" w:sz="12" w:space="0" w:color="000000"/>
              <w:left w:val="single" w:sz="12" w:space="0" w:color="000000"/>
              <w:bottom w:val="single" w:sz="12" w:space="0" w:color="000000"/>
              <w:right w:val="single" w:sz="12" w:space="0" w:color="000000"/>
            </w:tcBorders>
            <w:shd w:val="clear" w:color="auto" w:fill="F2F2F2"/>
            <w:vAlign w:val="center"/>
          </w:tcPr>
          <w:p w14:paraId="0D3E122F" w14:textId="77777777" w:rsidR="00480115" w:rsidRDefault="00480115">
            <w:pPr>
              <w:tabs>
                <w:tab w:val="left" w:pos="426"/>
              </w:tabs>
              <w:spacing w:line="276" w:lineRule="auto"/>
              <w:jc w:val="center"/>
              <w:rPr>
                <w:sz w:val="22"/>
                <w:szCs w:val="22"/>
                <w:highlight w:val="yellow"/>
              </w:rPr>
            </w:pPr>
          </w:p>
        </w:tc>
        <w:tc>
          <w:tcPr>
            <w:tcW w:w="2362" w:type="dxa"/>
            <w:vMerge/>
            <w:tcBorders>
              <w:top w:val="single" w:sz="12" w:space="0" w:color="000000"/>
              <w:left w:val="single" w:sz="12" w:space="0" w:color="000000"/>
              <w:bottom w:val="single" w:sz="12" w:space="0" w:color="000000"/>
              <w:right w:val="single" w:sz="12" w:space="0" w:color="000000"/>
            </w:tcBorders>
            <w:vAlign w:val="center"/>
          </w:tcPr>
          <w:p w14:paraId="214C4BB3" w14:textId="77777777" w:rsidR="00480115" w:rsidRDefault="00480115">
            <w:pPr>
              <w:tabs>
                <w:tab w:val="left" w:pos="426"/>
              </w:tabs>
              <w:spacing w:line="276" w:lineRule="auto"/>
              <w:jc w:val="center"/>
              <w:rPr>
                <w:sz w:val="22"/>
                <w:szCs w:val="22"/>
                <w:highlight w:val="yellow"/>
              </w:rPr>
            </w:pPr>
          </w:p>
        </w:tc>
      </w:tr>
      <w:tr w:rsidR="00480115" w14:paraId="25E13481" w14:textId="77777777">
        <w:tc>
          <w:tcPr>
            <w:tcW w:w="1695" w:type="dxa"/>
            <w:vMerge/>
            <w:tcBorders>
              <w:top w:val="single" w:sz="12" w:space="0" w:color="000000"/>
              <w:left w:val="single" w:sz="12" w:space="0" w:color="000000"/>
              <w:bottom w:val="single" w:sz="12" w:space="0" w:color="000000"/>
              <w:right w:val="single" w:sz="12" w:space="0" w:color="000000"/>
            </w:tcBorders>
          </w:tcPr>
          <w:p w14:paraId="4609FBFD" w14:textId="77777777" w:rsidR="00480115" w:rsidRDefault="00480115">
            <w:pPr>
              <w:tabs>
                <w:tab w:val="left" w:pos="426"/>
              </w:tabs>
              <w:spacing w:line="276" w:lineRule="auto"/>
              <w:jc w:val="both"/>
              <w:rPr>
                <w:sz w:val="22"/>
                <w:szCs w:val="22"/>
              </w:rPr>
            </w:pPr>
          </w:p>
        </w:tc>
        <w:tc>
          <w:tcPr>
            <w:tcW w:w="3665" w:type="dxa"/>
            <w:tcBorders>
              <w:top w:val="single" w:sz="12" w:space="0" w:color="000000"/>
              <w:left w:val="single" w:sz="12" w:space="0" w:color="000000"/>
              <w:bottom w:val="single" w:sz="12" w:space="0" w:color="000000"/>
              <w:right w:val="single" w:sz="12" w:space="0" w:color="000000"/>
            </w:tcBorders>
          </w:tcPr>
          <w:p w14:paraId="0814F6E0" w14:textId="77777777" w:rsidR="00480115" w:rsidRDefault="00E45D5E">
            <w:pPr>
              <w:tabs>
                <w:tab w:val="left" w:pos="426"/>
              </w:tabs>
              <w:spacing w:line="276" w:lineRule="auto"/>
              <w:jc w:val="both"/>
              <w:rPr>
                <w:sz w:val="22"/>
                <w:szCs w:val="22"/>
              </w:rPr>
            </w:pPr>
            <w:r>
              <w:rPr>
                <w:sz w:val="22"/>
                <w:szCs w:val="22"/>
              </w:rPr>
              <w:t>неупередженість</w:t>
            </w:r>
          </w:p>
        </w:tc>
        <w:tc>
          <w:tcPr>
            <w:tcW w:w="1829" w:type="dxa"/>
            <w:vMerge/>
            <w:tcBorders>
              <w:top w:val="single" w:sz="12" w:space="0" w:color="000000"/>
              <w:left w:val="single" w:sz="12" w:space="0" w:color="000000"/>
              <w:bottom w:val="single" w:sz="12" w:space="0" w:color="000000"/>
              <w:right w:val="single" w:sz="12" w:space="0" w:color="000000"/>
            </w:tcBorders>
            <w:shd w:val="clear" w:color="auto" w:fill="F2F2F2"/>
            <w:vAlign w:val="center"/>
          </w:tcPr>
          <w:p w14:paraId="274F9A50" w14:textId="77777777" w:rsidR="00480115" w:rsidRDefault="00480115">
            <w:pPr>
              <w:tabs>
                <w:tab w:val="left" w:pos="426"/>
              </w:tabs>
              <w:spacing w:line="276" w:lineRule="auto"/>
              <w:jc w:val="center"/>
              <w:rPr>
                <w:sz w:val="22"/>
                <w:szCs w:val="22"/>
                <w:highlight w:val="yellow"/>
              </w:rPr>
            </w:pPr>
          </w:p>
        </w:tc>
        <w:tc>
          <w:tcPr>
            <w:tcW w:w="2362" w:type="dxa"/>
            <w:vMerge/>
            <w:tcBorders>
              <w:top w:val="single" w:sz="12" w:space="0" w:color="000000"/>
              <w:left w:val="single" w:sz="12" w:space="0" w:color="000000"/>
              <w:bottom w:val="single" w:sz="12" w:space="0" w:color="000000"/>
              <w:right w:val="single" w:sz="12" w:space="0" w:color="000000"/>
            </w:tcBorders>
            <w:vAlign w:val="center"/>
          </w:tcPr>
          <w:p w14:paraId="33DFA59D" w14:textId="77777777" w:rsidR="00480115" w:rsidRDefault="00480115">
            <w:pPr>
              <w:tabs>
                <w:tab w:val="left" w:pos="426"/>
              </w:tabs>
              <w:spacing w:line="276" w:lineRule="auto"/>
              <w:jc w:val="center"/>
              <w:rPr>
                <w:sz w:val="22"/>
                <w:szCs w:val="22"/>
                <w:highlight w:val="yellow"/>
              </w:rPr>
            </w:pPr>
          </w:p>
        </w:tc>
      </w:tr>
      <w:tr w:rsidR="00480115" w14:paraId="10BECE0F" w14:textId="77777777">
        <w:tc>
          <w:tcPr>
            <w:tcW w:w="1695" w:type="dxa"/>
            <w:vMerge/>
            <w:tcBorders>
              <w:top w:val="single" w:sz="12" w:space="0" w:color="000000"/>
              <w:left w:val="single" w:sz="12" w:space="0" w:color="000000"/>
              <w:bottom w:val="single" w:sz="12" w:space="0" w:color="000000"/>
              <w:right w:val="single" w:sz="12" w:space="0" w:color="000000"/>
            </w:tcBorders>
          </w:tcPr>
          <w:p w14:paraId="4BA802BE" w14:textId="77777777" w:rsidR="00480115" w:rsidRDefault="00480115">
            <w:pPr>
              <w:tabs>
                <w:tab w:val="left" w:pos="426"/>
              </w:tabs>
              <w:spacing w:line="276" w:lineRule="auto"/>
              <w:jc w:val="both"/>
              <w:rPr>
                <w:sz w:val="22"/>
                <w:szCs w:val="22"/>
              </w:rPr>
            </w:pPr>
          </w:p>
        </w:tc>
        <w:tc>
          <w:tcPr>
            <w:tcW w:w="3665" w:type="dxa"/>
            <w:tcBorders>
              <w:top w:val="single" w:sz="12" w:space="0" w:color="000000"/>
              <w:left w:val="single" w:sz="12" w:space="0" w:color="000000"/>
              <w:bottom w:val="single" w:sz="12" w:space="0" w:color="000000"/>
              <w:right w:val="single" w:sz="12" w:space="0" w:color="000000"/>
            </w:tcBorders>
          </w:tcPr>
          <w:p w14:paraId="077E109D" w14:textId="77777777" w:rsidR="00480115" w:rsidRDefault="00E45D5E">
            <w:pPr>
              <w:tabs>
                <w:tab w:val="left" w:pos="426"/>
              </w:tabs>
              <w:spacing w:line="276" w:lineRule="auto"/>
              <w:jc w:val="both"/>
              <w:rPr>
                <w:sz w:val="22"/>
                <w:szCs w:val="22"/>
              </w:rPr>
            </w:pPr>
            <w:r>
              <w:rPr>
                <w:sz w:val="22"/>
                <w:szCs w:val="22"/>
              </w:rPr>
              <w:t>сумлінність</w:t>
            </w:r>
          </w:p>
        </w:tc>
        <w:tc>
          <w:tcPr>
            <w:tcW w:w="1829" w:type="dxa"/>
            <w:vMerge/>
            <w:tcBorders>
              <w:top w:val="single" w:sz="12" w:space="0" w:color="000000"/>
              <w:left w:val="single" w:sz="12" w:space="0" w:color="000000"/>
              <w:bottom w:val="single" w:sz="12" w:space="0" w:color="000000"/>
              <w:right w:val="single" w:sz="12" w:space="0" w:color="000000"/>
            </w:tcBorders>
            <w:shd w:val="clear" w:color="auto" w:fill="F2F2F2"/>
            <w:vAlign w:val="center"/>
          </w:tcPr>
          <w:p w14:paraId="0A50057F" w14:textId="77777777" w:rsidR="00480115" w:rsidRDefault="00480115">
            <w:pPr>
              <w:tabs>
                <w:tab w:val="left" w:pos="426"/>
              </w:tabs>
              <w:spacing w:line="276" w:lineRule="auto"/>
              <w:jc w:val="center"/>
              <w:rPr>
                <w:sz w:val="22"/>
                <w:szCs w:val="22"/>
                <w:highlight w:val="yellow"/>
              </w:rPr>
            </w:pPr>
          </w:p>
        </w:tc>
        <w:tc>
          <w:tcPr>
            <w:tcW w:w="2362" w:type="dxa"/>
            <w:vMerge/>
            <w:tcBorders>
              <w:top w:val="single" w:sz="12" w:space="0" w:color="000000"/>
              <w:left w:val="single" w:sz="12" w:space="0" w:color="000000"/>
              <w:bottom w:val="single" w:sz="12" w:space="0" w:color="000000"/>
              <w:right w:val="single" w:sz="12" w:space="0" w:color="000000"/>
            </w:tcBorders>
            <w:vAlign w:val="center"/>
          </w:tcPr>
          <w:p w14:paraId="3AEF7DED" w14:textId="77777777" w:rsidR="00480115" w:rsidRDefault="00480115">
            <w:pPr>
              <w:tabs>
                <w:tab w:val="left" w:pos="426"/>
              </w:tabs>
              <w:spacing w:line="276" w:lineRule="auto"/>
              <w:jc w:val="center"/>
              <w:rPr>
                <w:sz w:val="22"/>
                <w:szCs w:val="22"/>
                <w:highlight w:val="yellow"/>
              </w:rPr>
            </w:pPr>
          </w:p>
        </w:tc>
      </w:tr>
      <w:tr w:rsidR="00480115" w14:paraId="0097AD9B" w14:textId="77777777">
        <w:tc>
          <w:tcPr>
            <w:tcW w:w="1695" w:type="dxa"/>
            <w:vMerge/>
            <w:tcBorders>
              <w:top w:val="single" w:sz="12" w:space="0" w:color="000000"/>
              <w:left w:val="single" w:sz="12" w:space="0" w:color="000000"/>
              <w:bottom w:val="single" w:sz="12" w:space="0" w:color="000000"/>
              <w:right w:val="single" w:sz="12" w:space="0" w:color="000000"/>
            </w:tcBorders>
          </w:tcPr>
          <w:p w14:paraId="02F3CA94" w14:textId="77777777" w:rsidR="00480115" w:rsidRDefault="00480115">
            <w:pPr>
              <w:tabs>
                <w:tab w:val="left" w:pos="426"/>
              </w:tabs>
              <w:spacing w:line="276" w:lineRule="auto"/>
              <w:jc w:val="both"/>
              <w:rPr>
                <w:sz w:val="22"/>
                <w:szCs w:val="22"/>
              </w:rPr>
            </w:pPr>
          </w:p>
        </w:tc>
        <w:tc>
          <w:tcPr>
            <w:tcW w:w="3665" w:type="dxa"/>
            <w:tcBorders>
              <w:top w:val="single" w:sz="12" w:space="0" w:color="000000"/>
              <w:left w:val="single" w:sz="12" w:space="0" w:color="000000"/>
              <w:bottom w:val="single" w:sz="12" w:space="0" w:color="000000"/>
              <w:right w:val="single" w:sz="12" w:space="0" w:color="000000"/>
            </w:tcBorders>
          </w:tcPr>
          <w:p w14:paraId="5DAF3AEC" w14:textId="77777777" w:rsidR="00480115" w:rsidRDefault="00E45D5E">
            <w:pPr>
              <w:tabs>
                <w:tab w:val="left" w:pos="426"/>
              </w:tabs>
              <w:spacing w:line="276" w:lineRule="auto"/>
              <w:jc w:val="both"/>
              <w:rPr>
                <w:sz w:val="22"/>
                <w:szCs w:val="22"/>
              </w:rPr>
            </w:pPr>
            <w:r>
              <w:rPr>
                <w:sz w:val="22"/>
                <w:szCs w:val="22"/>
              </w:rPr>
              <w:t>непідкупність</w:t>
            </w:r>
          </w:p>
        </w:tc>
        <w:tc>
          <w:tcPr>
            <w:tcW w:w="1829" w:type="dxa"/>
            <w:vMerge/>
            <w:tcBorders>
              <w:top w:val="single" w:sz="12" w:space="0" w:color="000000"/>
              <w:left w:val="single" w:sz="12" w:space="0" w:color="000000"/>
              <w:bottom w:val="single" w:sz="12" w:space="0" w:color="000000"/>
              <w:right w:val="single" w:sz="12" w:space="0" w:color="000000"/>
            </w:tcBorders>
            <w:shd w:val="clear" w:color="auto" w:fill="F2F2F2"/>
            <w:vAlign w:val="center"/>
          </w:tcPr>
          <w:p w14:paraId="2674618E" w14:textId="77777777" w:rsidR="00480115" w:rsidRDefault="00480115">
            <w:pPr>
              <w:tabs>
                <w:tab w:val="left" w:pos="426"/>
              </w:tabs>
              <w:spacing w:line="276" w:lineRule="auto"/>
              <w:jc w:val="center"/>
              <w:rPr>
                <w:sz w:val="22"/>
                <w:szCs w:val="22"/>
                <w:highlight w:val="yellow"/>
              </w:rPr>
            </w:pPr>
          </w:p>
        </w:tc>
        <w:tc>
          <w:tcPr>
            <w:tcW w:w="2362" w:type="dxa"/>
            <w:vMerge/>
            <w:tcBorders>
              <w:top w:val="single" w:sz="12" w:space="0" w:color="000000"/>
              <w:left w:val="single" w:sz="12" w:space="0" w:color="000000"/>
              <w:bottom w:val="single" w:sz="12" w:space="0" w:color="000000"/>
              <w:right w:val="single" w:sz="12" w:space="0" w:color="000000"/>
            </w:tcBorders>
            <w:vAlign w:val="center"/>
          </w:tcPr>
          <w:p w14:paraId="59CF4BB1" w14:textId="77777777" w:rsidR="00480115" w:rsidRDefault="00480115">
            <w:pPr>
              <w:tabs>
                <w:tab w:val="left" w:pos="426"/>
              </w:tabs>
              <w:spacing w:line="276" w:lineRule="auto"/>
              <w:jc w:val="center"/>
              <w:rPr>
                <w:sz w:val="22"/>
                <w:szCs w:val="22"/>
                <w:highlight w:val="yellow"/>
              </w:rPr>
            </w:pPr>
          </w:p>
        </w:tc>
      </w:tr>
      <w:tr w:rsidR="00480115" w14:paraId="0E3E738D" w14:textId="77777777">
        <w:tc>
          <w:tcPr>
            <w:tcW w:w="1695" w:type="dxa"/>
            <w:vMerge/>
            <w:tcBorders>
              <w:top w:val="single" w:sz="12" w:space="0" w:color="000000"/>
              <w:left w:val="single" w:sz="12" w:space="0" w:color="000000"/>
              <w:bottom w:val="single" w:sz="12" w:space="0" w:color="000000"/>
              <w:right w:val="single" w:sz="12" w:space="0" w:color="000000"/>
            </w:tcBorders>
          </w:tcPr>
          <w:p w14:paraId="55EBC0CA" w14:textId="77777777" w:rsidR="00480115" w:rsidRDefault="00480115">
            <w:pPr>
              <w:tabs>
                <w:tab w:val="left" w:pos="426"/>
              </w:tabs>
              <w:spacing w:line="276" w:lineRule="auto"/>
              <w:jc w:val="both"/>
              <w:rPr>
                <w:sz w:val="22"/>
                <w:szCs w:val="22"/>
              </w:rPr>
            </w:pPr>
          </w:p>
        </w:tc>
        <w:tc>
          <w:tcPr>
            <w:tcW w:w="3665" w:type="dxa"/>
            <w:tcBorders>
              <w:top w:val="single" w:sz="12" w:space="0" w:color="000000"/>
              <w:left w:val="single" w:sz="12" w:space="0" w:color="000000"/>
              <w:bottom w:val="single" w:sz="12" w:space="0" w:color="000000"/>
              <w:right w:val="single" w:sz="12" w:space="0" w:color="000000"/>
            </w:tcBorders>
          </w:tcPr>
          <w:p w14:paraId="504FE90A" w14:textId="77777777" w:rsidR="00480115" w:rsidRDefault="00E45D5E">
            <w:pPr>
              <w:tabs>
                <w:tab w:val="left" w:pos="426"/>
              </w:tabs>
              <w:spacing w:line="276" w:lineRule="auto"/>
              <w:jc w:val="both"/>
              <w:rPr>
                <w:sz w:val="22"/>
                <w:szCs w:val="22"/>
              </w:rPr>
            </w:pPr>
            <w:r>
              <w:rPr>
                <w:sz w:val="22"/>
                <w:szCs w:val="22"/>
              </w:rPr>
              <w:t>дотримання етичних норм і бездоганна поведінка у професійній діяльності та особистому житті</w:t>
            </w:r>
          </w:p>
        </w:tc>
        <w:tc>
          <w:tcPr>
            <w:tcW w:w="1829" w:type="dxa"/>
            <w:vMerge/>
            <w:tcBorders>
              <w:top w:val="single" w:sz="12" w:space="0" w:color="000000"/>
              <w:left w:val="single" w:sz="12" w:space="0" w:color="000000"/>
              <w:bottom w:val="single" w:sz="12" w:space="0" w:color="000000"/>
              <w:right w:val="single" w:sz="12" w:space="0" w:color="000000"/>
            </w:tcBorders>
            <w:shd w:val="clear" w:color="auto" w:fill="F2F2F2"/>
            <w:vAlign w:val="center"/>
          </w:tcPr>
          <w:p w14:paraId="24ABF9E7" w14:textId="77777777" w:rsidR="00480115" w:rsidRDefault="00480115">
            <w:pPr>
              <w:tabs>
                <w:tab w:val="left" w:pos="426"/>
              </w:tabs>
              <w:spacing w:line="276" w:lineRule="auto"/>
              <w:jc w:val="center"/>
              <w:rPr>
                <w:sz w:val="22"/>
                <w:szCs w:val="22"/>
                <w:highlight w:val="yellow"/>
              </w:rPr>
            </w:pPr>
          </w:p>
        </w:tc>
        <w:tc>
          <w:tcPr>
            <w:tcW w:w="2362" w:type="dxa"/>
            <w:vMerge/>
            <w:tcBorders>
              <w:top w:val="single" w:sz="12" w:space="0" w:color="000000"/>
              <w:left w:val="single" w:sz="12" w:space="0" w:color="000000"/>
              <w:bottom w:val="single" w:sz="12" w:space="0" w:color="000000"/>
              <w:right w:val="single" w:sz="12" w:space="0" w:color="000000"/>
            </w:tcBorders>
            <w:vAlign w:val="center"/>
          </w:tcPr>
          <w:p w14:paraId="749EE184" w14:textId="77777777" w:rsidR="00480115" w:rsidRDefault="00480115">
            <w:pPr>
              <w:tabs>
                <w:tab w:val="left" w:pos="426"/>
              </w:tabs>
              <w:spacing w:line="276" w:lineRule="auto"/>
              <w:jc w:val="center"/>
              <w:rPr>
                <w:sz w:val="22"/>
                <w:szCs w:val="22"/>
                <w:highlight w:val="yellow"/>
              </w:rPr>
            </w:pPr>
          </w:p>
        </w:tc>
      </w:tr>
      <w:tr w:rsidR="00480115" w14:paraId="2A573006" w14:textId="77777777">
        <w:tc>
          <w:tcPr>
            <w:tcW w:w="1695" w:type="dxa"/>
            <w:vMerge/>
            <w:tcBorders>
              <w:top w:val="single" w:sz="12" w:space="0" w:color="000000"/>
              <w:left w:val="single" w:sz="12" w:space="0" w:color="000000"/>
              <w:bottom w:val="single" w:sz="12" w:space="0" w:color="000000"/>
              <w:right w:val="single" w:sz="12" w:space="0" w:color="000000"/>
            </w:tcBorders>
          </w:tcPr>
          <w:p w14:paraId="0CE39F99" w14:textId="77777777" w:rsidR="00480115" w:rsidRDefault="00480115">
            <w:pPr>
              <w:tabs>
                <w:tab w:val="left" w:pos="426"/>
              </w:tabs>
              <w:spacing w:line="276" w:lineRule="auto"/>
              <w:jc w:val="both"/>
              <w:rPr>
                <w:sz w:val="22"/>
                <w:szCs w:val="22"/>
              </w:rPr>
            </w:pPr>
          </w:p>
        </w:tc>
        <w:tc>
          <w:tcPr>
            <w:tcW w:w="3665" w:type="dxa"/>
            <w:tcBorders>
              <w:top w:val="single" w:sz="12" w:space="0" w:color="000000"/>
              <w:left w:val="single" w:sz="12" w:space="0" w:color="000000"/>
              <w:bottom w:val="single" w:sz="12" w:space="0" w:color="000000"/>
              <w:right w:val="single" w:sz="12" w:space="0" w:color="000000"/>
            </w:tcBorders>
          </w:tcPr>
          <w:p w14:paraId="136E6CFA" w14:textId="77777777" w:rsidR="00480115" w:rsidRDefault="00E45D5E">
            <w:pPr>
              <w:tabs>
                <w:tab w:val="left" w:pos="426"/>
              </w:tabs>
              <w:spacing w:line="276" w:lineRule="auto"/>
              <w:jc w:val="both"/>
              <w:rPr>
                <w:sz w:val="22"/>
                <w:szCs w:val="22"/>
              </w:rPr>
            </w:pPr>
            <w:r>
              <w:rPr>
                <w:sz w:val="22"/>
                <w:szCs w:val="22"/>
              </w:rPr>
              <w:t>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tc>
        <w:tc>
          <w:tcPr>
            <w:tcW w:w="1829" w:type="dxa"/>
            <w:vMerge/>
            <w:tcBorders>
              <w:top w:val="single" w:sz="12" w:space="0" w:color="000000"/>
              <w:left w:val="single" w:sz="12" w:space="0" w:color="000000"/>
              <w:bottom w:val="single" w:sz="12" w:space="0" w:color="000000"/>
              <w:right w:val="single" w:sz="12" w:space="0" w:color="000000"/>
            </w:tcBorders>
            <w:shd w:val="clear" w:color="auto" w:fill="F2F2F2"/>
            <w:vAlign w:val="center"/>
          </w:tcPr>
          <w:p w14:paraId="0E5775BC" w14:textId="77777777" w:rsidR="00480115" w:rsidRDefault="00480115">
            <w:pPr>
              <w:tabs>
                <w:tab w:val="left" w:pos="426"/>
              </w:tabs>
              <w:spacing w:line="276" w:lineRule="auto"/>
              <w:jc w:val="center"/>
              <w:rPr>
                <w:sz w:val="22"/>
                <w:szCs w:val="22"/>
                <w:highlight w:val="yellow"/>
              </w:rPr>
            </w:pPr>
          </w:p>
        </w:tc>
        <w:tc>
          <w:tcPr>
            <w:tcW w:w="2362" w:type="dxa"/>
            <w:vMerge/>
            <w:tcBorders>
              <w:top w:val="single" w:sz="12" w:space="0" w:color="000000"/>
              <w:left w:val="single" w:sz="12" w:space="0" w:color="000000"/>
              <w:bottom w:val="single" w:sz="12" w:space="0" w:color="000000"/>
              <w:right w:val="single" w:sz="12" w:space="0" w:color="000000"/>
            </w:tcBorders>
            <w:vAlign w:val="center"/>
          </w:tcPr>
          <w:p w14:paraId="4C4C68A4" w14:textId="77777777" w:rsidR="00480115" w:rsidRDefault="00480115">
            <w:pPr>
              <w:tabs>
                <w:tab w:val="left" w:pos="426"/>
              </w:tabs>
              <w:spacing w:line="276" w:lineRule="auto"/>
              <w:jc w:val="center"/>
              <w:rPr>
                <w:sz w:val="22"/>
                <w:szCs w:val="22"/>
                <w:highlight w:val="yellow"/>
              </w:rPr>
            </w:pPr>
          </w:p>
        </w:tc>
      </w:tr>
      <w:tr w:rsidR="00480115" w14:paraId="269095B1" w14:textId="77777777">
        <w:tc>
          <w:tcPr>
            <w:tcW w:w="1695" w:type="dxa"/>
            <w:tcBorders>
              <w:top w:val="single" w:sz="12" w:space="0" w:color="000000"/>
              <w:left w:val="single" w:sz="12" w:space="0" w:color="000000"/>
              <w:bottom w:val="single" w:sz="12" w:space="0" w:color="000000"/>
              <w:right w:val="single" w:sz="12" w:space="0" w:color="000000"/>
            </w:tcBorders>
          </w:tcPr>
          <w:p w14:paraId="6DDA24DA" w14:textId="77777777" w:rsidR="00480115" w:rsidRDefault="00480115">
            <w:pPr>
              <w:tabs>
                <w:tab w:val="left" w:pos="426"/>
              </w:tabs>
              <w:spacing w:line="276" w:lineRule="auto"/>
              <w:jc w:val="both"/>
              <w:rPr>
                <w:sz w:val="22"/>
                <w:szCs w:val="22"/>
              </w:rPr>
            </w:pPr>
          </w:p>
        </w:tc>
        <w:tc>
          <w:tcPr>
            <w:tcW w:w="3665" w:type="dxa"/>
            <w:tcBorders>
              <w:top w:val="single" w:sz="12" w:space="0" w:color="000000"/>
              <w:left w:val="single" w:sz="12" w:space="0" w:color="000000"/>
              <w:bottom w:val="single" w:sz="12" w:space="0" w:color="000000"/>
              <w:right w:val="single" w:sz="12" w:space="0" w:color="000000"/>
            </w:tcBorders>
          </w:tcPr>
          <w:p w14:paraId="64C4B4C2" w14:textId="77777777" w:rsidR="00480115" w:rsidRDefault="00480115">
            <w:pPr>
              <w:tabs>
                <w:tab w:val="left" w:pos="426"/>
              </w:tabs>
              <w:spacing w:line="276" w:lineRule="auto"/>
              <w:jc w:val="both"/>
              <w:rPr>
                <w:sz w:val="22"/>
                <w:szCs w:val="22"/>
              </w:rPr>
            </w:pPr>
          </w:p>
        </w:tc>
        <w:tc>
          <w:tcPr>
            <w:tcW w:w="1829" w:type="dxa"/>
            <w:tcBorders>
              <w:top w:val="single" w:sz="12" w:space="0" w:color="000000"/>
              <w:left w:val="single" w:sz="12" w:space="0" w:color="000000"/>
              <w:bottom w:val="single" w:sz="12" w:space="0" w:color="000000"/>
              <w:right w:val="single" w:sz="12" w:space="0" w:color="000000"/>
            </w:tcBorders>
            <w:vAlign w:val="center"/>
          </w:tcPr>
          <w:p w14:paraId="6957502A" w14:textId="77777777" w:rsidR="00480115" w:rsidRDefault="00E45D5E">
            <w:pPr>
              <w:tabs>
                <w:tab w:val="left" w:pos="426"/>
              </w:tabs>
              <w:spacing w:line="276" w:lineRule="auto"/>
              <w:jc w:val="center"/>
              <w:rPr>
                <w:sz w:val="22"/>
                <w:szCs w:val="22"/>
              </w:rPr>
            </w:pPr>
            <w:r>
              <w:rPr>
                <w:sz w:val="22"/>
                <w:szCs w:val="22"/>
              </w:rPr>
              <w:t>Загальний бал</w:t>
            </w:r>
          </w:p>
        </w:tc>
        <w:tc>
          <w:tcPr>
            <w:tcW w:w="2362" w:type="dxa"/>
            <w:tcBorders>
              <w:top w:val="single" w:sz="12" w:space="0" w:color="000000"/>
              <w:left w:val="single" w:sz="12" w:space="0" w:color="000000"/>
              <w:bottom w:val="single" w:sz="12" w:space="0" w:color="000000"/>
              <w:right w:val="single" w:sz="12" w:space="0" w:color="000000"/>
            </w:tcBorders>
            <w:vAlign w:val="center"/>
          </w:tcPr>
          <w:p w14:paraId="55AB455B" w14:textId="77777777" w:rsidR="00480115" w:rsidRDefault="00E45D5E">
            <w:pPr>
              <w:tabs>
                <w:tab w:val="left" w:pos="426"/>
              </w:tabs>
              <w:spacing w:line="276" w:lineRule="auto"/>
              <w:jc w:val="center"/>
              <w:rPr>
                <w:sz w:val="22"/>
                <w:szCs w:val="22"/>
              </w:rPr>
            </w:pPr>
            <w:r>
              <w:rPr>
                <w:sz w:val="22"/>
                <w:szCs w:val="22"/>
              </w:rPr>
              <w:t>710,54</w:t>
            </w:r>
          </w:p>
        </w:tc>
      </w:tr>
    </w:tbl>
    <w:p w14:paraId="13CB74C8" w14:textId="77777777" w:rsidR="00480115" w:rsidRDefault="00480115">
      <w:pPr>
        <w:shd w:val="clear" w:color="auto" w:fill="FFFFFF"/>
        <w:tabs>
          <w:tab w:val="left" w:pos="426"/>
        </w:tabs>
        <w:spacing w:line="276" w:lineRule="auto"/>
        <w:jc w:val="both"/>
        <w:rPr>
          <w:color w:val="FF0000"/>
          <w:sz w:val="26"/>
          <w:szCs w:val="26"/>
        </w:rPr>
      </w:pPr>
    </w:p>
    <w:p w14:paraId="7F4BC916" w14:textId="77777777" w:rsidR="00480115" w:rsidRDefault="00E45D5E">
      <w:pPr>
        <w:shd w:val="clear" w:color="auto" w:fill="FFFFFF"/>
        <w:tabs>
          <w:tab w:val="left" w:pos="426"/>
        </w:tabs>
        <w:spacing w:line="276" w:lineRule="auto"/>
        <w:ind w:firstLine="709"/>
        <w:contextualSpacing/>
        <w:jc w:val="both"/>
      </w:pPr>
      <w:r>
        <w:rPr>
          <w:sz w:val="26"/>
          <w:szCs w:val="26"/>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14:paraId="196E462F" w14:textId="77777777" w:rsidR="00480115" w:rsidRDefault="00480115">
      <w:pPr>
        <w:shd w:val="clear" w:color="auto" w:fill="FFFFFF"/>
        <w:tabs>
          <w:tab w:val="left" w:pos="426"/>
        </w:tabs>
        <w:spacing w:line="276" w:lineRule="auto"/>
        <w:contextualSpacing/>
        <w:jc w:val="both"/>
        <w:rPr>
          <w:sz w:val="26"/>
          <w:szCs w:val="26"/>
        </w:rPr>
      </w:pPr>
    </w:p>
    <w:p w14:paraId="36872FD9" w14:textId="77777777" w:rsidR="00480115" w:rsidRDefault="00E45D5E">
      <w:pPr>
        <w:shd w:val="clear" w:color="auto" w:fill="FFFFFF"/>
        <w:tabs>
          <w:tab w:val="left" w:pos="426"/>
        </w:tabs>
        <w:spacing w:line="276" w:lineRule="auto"/>
        <w:ind w:firstLine="709"/>
        <w:contextualSpacing/>
        <w:jc w:val="center"/>
      </w:pPr>
      <w:r>
        <w:rPr>
          <w:sz w:val="26"/>
          <w:szCs w:val="26"/>
        </w:rPr>
        <w:t>вирішила:</w:t>
      </w:r>
    </w:p>
    <w:p w14:paraId="7B436933" w14:textId="77777777" w:rsidR="00480115" w:rsidRDefault="00480115">
      <w:pPr>
        <w:tabs>
          <w:tab w:val="left" w:pos="-1701"/>
          <w:tab w:val="left" w:pos="-1276"/>
          <w:tab w:val="left" w:pos="0"/>
        </w:tabs>
        <w:spacing w:line="276" w:lineRule="auto"/>
        <w:ind w:firstLine="709"/>
        <w:contextualSpacing/>
        <w:jc w:val="both"/>
        <w:rPr>
          <w:sz w:val="26"/>
          <w:szCs w:val="26"/>
        </w:rPr>
      </w:pPr>
    </w:p>
    <w:p w14:paraId="6427D3C5" w14:textId="51D3178D" w:rsidR="00480115" w:rsidRDefault="00E45D5E">
      <w:pPr>
        <w:tabs>
          <w:tab w:val="left" w:pos="-1701"/>
          <w:tab w:val="left" w:pos="-1276"/>
          <w:tab w:val="left" w:pos="0"/>
        </w:tabs>
        <w:spacing w:line="276" w:lineRule="auto"/>
        <w:ind w:firstLine="709"/>
        <w:contextualSpacing/>
        <w:jc w:val="both"/>
      </w:pPr>
      <w:r>
        <w:rPr>
          <w:sz w:val="26"/>
          <w:szCs w:val="26"/>
        </w:rPr>
        <w:t xml:space="preserve">1. Визначити, що за результатами кваліфікаційного оцінювання кандидат на посаду судді апеляційного загального суду Марченко Наталія Юріївна набрала </w:t>
      </w:r>
      <w:r w:rsidR="00CD2209">
        <w:rPr>
          <w:sz w:val="26"/>
          <w:szCs w:val="26"/>
        </w:rPr>
        <w:t xml:space="preserve">                </w:t>
      </w:r>
      <w:bookmarkStart w:id="0" w:name="_GoBack"/>
      <w:bookmarkEnd w:id="0"/>
      <w:r>
        <w:rPr>
          <w:sz w:val="26"/>
          <w:szCs w:val="26"/>
        </w:rPr>
        <w:t>710,54</w:t>
      </w:r>
      <w:r>
        <w:rPr>
          <w:sz w:val="26"/>
          <w:szCs w:val="26"/>
          <w:lang w:val="ru-RU"/>
        </w:rPr>
        <w:t xml:space="preserve"> </w:t>
      </w:r>
      <w:r>
        <w:rPr>
          <w:sz w:val="26"/>
          <w:szCs w:val="26"/>
        </w:rPr>
        <w:t>бала.</w:t>
      </w:r>
    </w:p>
    <w:p w14:paraId="66F40B59" w14:textId="77777777" w:rsidR="00480115" w:rsidRDefault="00E45D5E">
      <w:pPr>
        <w:tabs>
          <w:tab w:val="left" w:pos="-1701"/>
          <w:tab w:val="left" w:pos="-1276"/>
          <w:tab w:val="left" w:pos="0"/>
        </w:tabs>
        <w:spacing w:line="276" w:lineRule="auto"/>
        <w:ind w:firstLine="709"/>
        <w:contextualSpacing/>
        <w:jc w:val="both"/>
      </w:pPr>
      <w:r>
        <w:rPr>
          <w:sz w:val="26"/>
          <w:szCs w:val="26"/>
        </w:rPr>
        <w:t>2. Визнати Марченко Наталію Юріївну такою, що підтвердила здатність здійснювати правосуддя в апеляційному загальному суді.</w:t>
      </w:r>
    </w:p>
    <w:p w14:paraId="3B644CEB" w14:textId="77777777" w:rsidR="00480115" w:rsidRDefault="00480115">
      <w:pPr>
        <w:tabs>
          <w:tab w:val="left" w:pos="-1701"/>
          <w:tab w:val="left" w:pos="-1276"/>
          <w:tab w:val="left" w:pos="0"/>
        </w:tabs>
        <w:spacing w:line="276" w:lineRule="auto"/>
        <w:contextualSpacing/>
        <w:jc w:val="both"/>
        <w:rPr>
          <w:sz w:val="26"/>
          <w:szCs w:val="26"/>
        </w:rPr>
      </w:pPr>
    </w:p>
    <w:p w14:paraId="11E7A951" w14:textId="3757D4BE" w:rsidR="00480115" w:rsidRDefault="00E45D5E" w:rsidP="0030563D">
      <w:pPr>
        <w:shd w:val="clear" w:color="auto" w:fill="FFFFFF"/>
        <w:spacing w:line="720" w:lineRule="auto"/>
        <w:jc w:val="both"/>
        <w:rPr>
          <w:sz w:val="26"/>
          <w:szCs w:val="26"/>
        </w:rPr>
      </w:pPr>
      <w:r>
        <w:rPr>
          <w:sz w:val="26"/>
          <w:szCs w:val="26"/>
        </w:rPr>
        <w:t>Головуючий                                                                                          Михайло БОГОНІС</w:t>
      </w:r>
    </w:p>
    <w:p w14:paraId="7F574903" w14:textId="77777777" w:rsidR="00480115" w:rsidRDefault="00E45D5E" w:rsidP="0030563D">
      <w:pPr>
        <w:shd w:val="clear" w:color="auto" w:fill="FFFFFF"/>
        <w:spacing w:line="720" w:lineRule="auto"/>
        <w:jc w:val="both"/>
        <w:rPr>
          <w:sz w:val="26"/>
          <w:szCs w:val="26"/>
        </w:rPr>
      </w:pPr>
      <w:r>
        <w:rPr>
          <w:sz w:val="26"/>
          <w:szCs w:val="26"/>
        </w:rPr>
        <w:t xml:space="preserve">Члени Комісії:                                                                                       Надія КОБЕЦЬКА    </w:t>
      </w:r>
    </w:p>
    <w:p w14:paraId="5298E7F5" w14:textId="77777777" w:rsidR="00480115" w:rsidRDefault="00E45D5E" w:rsidP="0030563D">
      <w:pPr>
        <w:shd w:val="clear" w:color="auto" w:fill="FFFFFF"/>
        <w:spacing w:line="720" w:lineRule="auto"/>
        <w:jc w:val="both"/>
        <w:rPr>
          <w:sz w:val="26"/>
          <w:szCs w:val="26"/>
        </w:rPr>
      </w:pPr>
      <w:r>
        <w:rPr>
          <w:sz w:val="26"/>
          <w:szCs w:val="26"/>
        </w:rPr>
        <w:t xml:space="preserve">                                                                                                                Галина ШЕВЧУК </w:t>
      </w:r>
    </w:p>
    <w:sectPr w:rsidR="00480115">
      <w:headerReference w:type="even" r:id="rId8"/>
      <w:headerReference w:type="default" r:id="rId9"/>
      <w:headerReference w:type="first" r:id="rId10"/>
      <w:pgSz w:w="11906" w:h="16838"/>
      <w:pgMar w:top="1191" w:right="567" w:bottom="1191" w:left="1758" w:header="709" w:footer="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AB071" w14:textId="77777777" w:rsidR="00375127" w:rsidRDefault="00375127">
      <w:r>
        <w:separator/>
      </w:r>
    </w:p>
  </w:endnote>
  <w:endnote w:type="continuationSeparator" w:id="0">
    <w:p w14:paraId="013E6279" w14:textId="77777777" w:rsidR="00375127" w:rsidRDefault="00375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CC"/>
    <w:family w:val="swiss"/>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A6D315" w14:textId="77777777" w:rsidR="00375127" w:rsidRDefault="00375127">
      <w:r>
        <w:separator/>
      </w:r>
    </w:p>
  </w:footnote>
  <w:footnote w:type="continuationSeparator" w:id="0">
    <w:p w14:paraId="04D1743F" w14:textId="77777777" w:rsidR="00375127" w:rsidRDefault="00375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1C875" w14:textId="77777777" w:rsidR="00767861" w:rsidRDefault="00767861">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788990"/>
      <w:docPartObj>
        <w:docPartGallery w:val="Page Numbers (Top of Page)"/>
        <w:docPartUnique/>
      </w:docPartObj>
    </w:sdtPr>
    <w:sdtEndPr/>
    <w:sdtContent>
      <w:p w14:paraId="5BD518D5" w14:textId="77777777" w:rsidR="00767861" w:rsidRDefault="00767861">
        <w:pPr>
          <w:pStyle w:val="af8"/>
          <w:jc w:val="center"/>
        </w:pPr>
        <w:r>
          <w:fldChar w:fldCharType="begin"/>
        </w:r>
        <w:r>
          <w:instrText xml:space="preserve"> PAGE </w:instrText>
        </w:r>
        <w:r>
          <w:fldChar w:fldCharType="separate"/>
        </w:r>
        <w:r w:rsidR="006C1034">
          <w:rPr>
            <w:noProof/>
          </w:rPr>
          <w:t>20</w:t>
        </w:r>
        <w:r>
          <w:fldChar w:fldCharType="end"/>
        </w:r>
      </w:p>
    </w:sdtContent>
  </w:sdt>
  <w:p w14:paraId="19268DC8" w14:textId="77777777" w:rsidR="00767861" w:rsidRDefault="00767861">
    <w:pPr>
      <w:pStyle w:val="af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09FAE" w14:textId="77777777" w:rsidR="00767861" w:rsidRDefault="00767861">
    <w:pPr>
      <w:pStyle w:val="af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115"/>
    <w:rsid w:val="0000782E"/>
    <w:rsid w:val="00012CE5"/>
    <w:rsid w:val="00042C88"/>
    <w:rsid w:val="000435B0"/>
    <w:rsid w:val="00063F73"/>
    <w:rsid w:val="00076976"/>
    <w:rsid w:val="000808F6"/>
    <w:rsid w:val="000C12AD"/>
    <w:rsid w:val="000C2BCE"/>
    <w:rsid w:val="000C35C8"/>
    <w:rsid w:val="000C7DF8"/>
    <w:rsid w:val="000D4AC7"/>
    <w:rsid w:val="000E7567"/>
    <w:rsid w:val="000F0514"/>
    <w:rsid w:val="00154729"/>
    <w:rsid w:val="001736E5"/>
    <w:rsid w:val="00174C93"/>
    <w:rsid w:val="001770C0"/>
    <w:rsid w:val="001A553B"/>
    <w:rsid w:val="001C10C7"/>
    <w:rsid w:val="001D6D9F"/>
    <w:rsid w:val="001E5D4F"/>
    <w:rsid w:val="00202DEA"/>
    <w:rsid w:val="00216C67"/>
    <w:rsid w:val="00234787"/>
    <w:rsid w:val="00270990"/>
    <w:rsid w:val="00291DF0"/>
    <w:rsid w:val="002C1579"/>
    <w:rsid w:val="002C7B33"/>
    <w:rsid w:val="002F5EE2"/>
    <w:rsid w:val="0030563D"/>
    <w:rsid w:val="00313F13"/>
    <w:rsid w:val="00321D86"/>
    <w:rsid w:val="003309EA"/>
    <w:rsid w:val="00364174"/>
    <w:rsid w:val="00375127"/>
    <w:rsid w:val="00383881"/>
    <w:rsid w:val="00386C4B"/>
    <w:rsid w:val="00392E00"/>
    <w:rsid w:val="003B7160"/>
    <w:rsid w:val="003C482E"/>
    <w:rsid w:val="003C6951"/>
    <w:rsid w:val="003D2D54"/>
    <w:rsid w:val="003E6D81"/>
    <w:rsid w:val="003F1F4B"/>
    <w:rsid w:val="003F3CDC"/>
    <w:rsid w:val="003F436F"/>
    <w:rsid w:val="004412F2"/>
    <w:rsid w:val="00452118"/>
    <w:rsid w:val="00480115"/>
    <w:rsid w:val="004B0D0C"/>
    <w:rsid w:val="004F7AD0"/>
    <w:rsid w:val="0050585E"/>
    <w:rsid w:val="00507844"/>
    <w:rsid w:val="00515C6B"/>
    <w:rsid w:val="0054373E"/>
    <w:rsid w:val="00565127"/>
    <w:rsid w:val="005717F5"/>
    <w:rsid w:val="005A7B85"/>
    <w:rsid w:val="005C1907"/>
    <w:rsid w:val="005D524A"/>
    <w:rsid w:val="005E41F7"/>
    <w:rsid w:val="005F615D"/>
    <w:rsid w:val="00601331"/>
    <w:rsid w:val="006027E6"/>
    <w:rsid w:val="0061143C"/>
    <w:rsid w:val="00614CDC"/>
    <w:rsid w:val="006167C5"/>
    <w:rsid w:val="006229F3"/>
    <w:rsid w:val="006552B8"/>
    <w:rsid w:val="0069383B"/>
    <w:rsid w:val="006A3C00"/>
    <w:rsid w:val="006C1034"/>
    <w:rsid w:val="006F4392"/>
    <w:rsid w:val="006F43DC"/>
    <w:rsid w:val="00722E54"/>
    <w:rsid w:val="00745A5E"/>
    <w:rsid w:val="00752F85"/>
    <w:rsid w:val="00767861"/>
    <w:rsid w:val="007C679F"/>
    <w:rsid w:val="0084745E"/>
    <w:rsid w:val="00851A58"/>
    <w:rsid w:val="00871401"/>
    <w:rsid w:val="00887593"/>
    <w:rsid w:val="00896148"/>
    <w:rsid w:val="008D7738"/>
    <w:rsid w:val="008F3725"/>
    <w:rsid w:val="00904480"/>
    <w:rsid w:val="00916976"/>
    <w:rsid w:val="00934EA2"/>
    <w:rsid w:val="009726BB"/>
    <w:rsid w:val="0099646A"/>
    <w:rsid w:val="00A03C85"/>
    <w:rsid w:val="00A108A1"/>
    <w:rsid w:val="00A22145"/>
    <w:rsid w:val="00A22468"/>
    <w:rsid w:val="00A4789B"/>
    <w:rsid w:val="00A47EF8"/>
    <w:rsid w:val="00A637C1"/>
    <w:rsid w:val="00AA7AF3"/>
    <w:rsid w:val="00AC3730"/>
    <w:rsid w:val="00AC5B3A"/>
    <w:rsid w:val="00AC76C4"/>
    <w:rsid w:val="00B01060"/>
    <w:rsid w:val="00B151FA"/>
    <w:rsid w:val="00B410B6"/>
    <w:rsid w:val="00BA5B8F"/>
    <w:rsid w:val="00BB5353"/>
    <w:rsid w:val="00BC191B"/>
    <w:rsid w:val="00BE4754"/>
    <w:rsid w:val="00BE7CCE"/>
    <w:rsid w:val="00C14D01"/>
    <w:rsid w:val="00C15C2C"/>
    <w:rsid w:val="00C22859"/>
    <w:rsid w:val="00CA0679"/>
    <w:rsid w:val="00CB7A8E"/>
    <w:rsid w:val="00CD0B1C"/>
    <w:rsid w:val="00CD2154"/>
    <w:rsid w:val="00CD2209"/>
    <w:rsid w:val="00CF5DD7"/>
    <w:rsid w:val="00CF7DAF"/>
    <w:rsid w:val="00D16874"/>
    <w:rsid w:val="00DA0958"/>
    <w:rsid w:val="00DD0B8B"/>
    <w:rsid w:val="00E15665"/>
    <w:rsid w:val="00E16853"/>
    <w:rsid w:val="00E22B0A"/>
    <w:rsid w:val="00E35D24"/>
    <w:rsid w:val="00E42AAF"/>
    <w:rsid w:val="00E45D5E"/>
    <w:rsid w:val="00E50DC7"/>
    <w:rsid w:val="00E5707B"/>
    <w:rsid w:val="00E673AB"/>
    <w:rsid w:val="00EA3A9F"/>
    <w:rsid w:val="00EB454B"/>
    <w:rsid w:val="00EE0CF1"/>
    <w:rsid w:val="00EE4DE2"/>
    <w:rsid w:val="00EE7A00"/>
    <w:rsid w:val="00EF68CC"/>
    <w:rsid w:val="00F67DF0"/>
    <w:rsid w:val="00F824E7"/>
    <w:rsid w:val="00F86C7E"/>
    <w:rsid w:val="00FA6BAD"/>
    <w:rsid w:val="00FC6154"/>
    <w:rsid w:val="00FF1FFC"/>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4A4D9"/>
  <w15:docId w15:val="{5D8D31D3-964E-4CDD-A6E0-801E45F7F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4"/>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51E"/>
    <w:rPr>
      <w:rFonts w:ascii="Times New Roman" w:hAnsi="Times New Roman"/>
    </w:rPr>
  </w:style>
  <w:style w:type="paragraph" w:styleId="1">
    <w:name w:val="heading 1"/>
    <w:basedOn w:val="a"/>
    <w:next w:val="a"/>
    <w:link w:val="10"/>
    <w:qFormat/>
    <w:pPr>
      <w:keepNext/>
      <w:keepLines/>
      <w:spacing w:before="360" w:after="80"/>
      <w:outlineLvl w:val="0"/>
    </w:pPr>
    <w:rPr>
      <w:color w:val="0F4761"/>
      <w:sz w:val="40"/>
    </w:rPr>
  </w:style>
  <w:style w:type="paragraph" w:styleId="2">
    <w:name w:val="heading 2"/>
    <w:basedOn w:val="a"/>
    <w:next w:val="a"/>
    <w:link w:val="20"/>
    <w:semiHidden/>
    <w:qFormat/>
    <w:pPr>
      <w:keepNext/>
      <w:keepLines/>
      <w:spacing w:before="160" w:after="80"/>
      <w:outlineLvl w:val="1"/>
    </w:pPr>
    <w:rPr>
      <w:color w:val="0F4761"/>
      <w:sz w:val="32"/>
    </w:rPr>
  </w:style>
  <w:style w:type="paragraph" w:styleId="3">
    <w:name w:val="heading 3"/>
    <w:basedOn w:val="a"/>
    <w:next w:val="a"/>
    <w:link w:val="30"/>
    <w:semiHidden/>
    <w:qFormat/>
    <w:pPr>
      <w:keepNext/>
      <w:keepLines/>
      <w:spacing w:before="160" w:after="80"/>
      <w:outlineLvl w:val="2"/>
    </w:pPr>
    <w:rPr>
      <w:color w:val="0F4761"/>
      <w:sz w:val="28"/>
    </w:rPr>
  </w:style>
  <w:style w:type="paragraph" w:styleId="4">
    <w:name w:val="heading 4"/>
    <w:basedOn w:val="a"/>
    <w:next w:val="a"/>
    <w:link w:val="40"/>
    <w:semiHidden/>
    <w:qFormat/>
    <w:pPr>
      <w:keepNext/>
      <w:keepLines/>
      <w:spacing w:before="80" w:after="40"/>
      <w:outlineLvl w:val="3"/>
    </w:pPr>
    <w:rPr>
      <w:i/>
      <w:color w:val="0F4761"/>
    </w:rPr>
  </w:style>
  <w:style w:type="paragraph" w:styleId="5">
    <w:name w:val="heading 5"/>
    <w:basedOn w:val="a"/>
    <w:next w:val="a"/>
    <w:link w:val="50"/>
    <w:semiHidden/>
    <w:qFormat/>
    <w:pPr>
      <w:keepNext/>
      <w:keepLines/>
      <w:spacing w:before="80" w:after="40"/>
      <w:outlineLvl w:val="4"/>
    </w:pPr>
    <w:rPr>
      <w:color w:val="0F4761"/>
    </w:rPr>
  </w:style>
  <w:style w:type="paragraph" w:styleId="6">
    <w:name w:val="heading 6"/>
    <w:basedOn w:val="a"/>
    <w:next w:val="a"/>
    <w:link w:val="60"/>
    <w:semiHidden/>
    <w:qFormat/>
    <w:pPr>
      <w:keepNext/>
      <w:keepLines/>
      <w:spacing w:before="40"/>
      <w:outlineLvl w:val="5"/>
    </w:pPr>
    <w:rPr>
      <w:i/>
      <w:color w:val="595959"/>
    </w:rPr>
  </w:style>
  <w:style w:type="paragraph" w:styleId="7">
    <w:name w:val="heading 7"/>
    <w:basedOn w:val="a"/>
    <w:next w:val="a"/>
    <w:link w:val="70"/>
    <w:semiHidden/>
    <w:qFormat/>
    <w:pPr>
      <w:keepNext/>
      <w:keepLines/>
      <w:spacing w:before="40"/>
      <w:outlineLvl w:val="6"/>
    </w:pPr>
    <w:rPr>
      <w:color w:val="595959"/>
    </w:rPr>
  </w:style>
  <w:style w:type="paragraph" w:styleId="8">
    <w:name w:val="heading 8"/>
    <w:basedOn w:val="a"/>
    <w:next w:val="a"/>
    <w:link w:val="80"/>
    <w:semiHidden/>
    <w:qFormat/>
    <w:pPr>
      <w:keepNext/>
      <w:keepLines/>
      <w:outlineLvl w:val="7"/>
    </w:pPr>
    <w:rPr>
      <w:i/>
      <w:color w:val="272727"/>
    </w:rPr>
  </w:style>
  <w:style w:type="paragraph" w:styleId="9">
    <w:name w:val="heading 9"/>
    <w:basedOn w:val="a"/>
    <w:next w:val="a"/>
    <w:link w:val="90"/>
    <w:semiHidden/>
    <w:qFormat/>
    <w:pPr>
      <w:keepNext/>
      <w:keepLines/>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basedOn w:val="a0"/>
    <w:rPr>
      <w:color w:val="467886"/>
      <w:u w:val="single"/>
    </w:rPr>
  </w:style>
  <w:style w:type="character" w:customStyle="1" w:styleId="10">
    <w:name w:val="Заголовок 1 Знак"/>
    <w:basedOn w:val="a0"/>
    <w:link w:val="1"/>
    <w:qFormat/>
    <w:rPr>
      <w:color w:val="0F4761"/>
      <w:sz w:val="40"/>
    </w:rPr>
  </w:style>
  <w:style w:type="character" w:customStyle="1" w:styleId="20">
    <w:name w:val="Заголовок 2 Знак"/>
    <w:basedOn w:val="a0"/>
    <w:link w:val="2"/>
    <w:semiHidden/>
    <w:qFormat/>
    <w:rPr>
      <w:color w:val="0F4761"/>
      <w:sz w:val="32"/>
    </w:rPr>
  </w:style>
  <w:style w:type="character" w:customStyle="1" w:styleId="30">
    <w:name w:val="Заголовок 3 Знак"/>
    <w:basedOn w:val="a0"/>
    <w:link w:val="3"/>
    <w:semiHidden/>
    <w:qFormat/>
    <w:rPr>
      <w:color w:val="0F4761"/>
      <w:sz w:val="28"/>
    </w:rPr>
  </w:style>
  <w:style w:type="character" w:customStyle="1" w:styleId="40">
    <w:name w:val="Заголовок 4 Знак"/>
    <w:basedOn w:val="a0"/>
    <w:link w:val="4"/>
    <w:semiHidden/>
    <w:qFormat/>
    <w:rPr>
      <w:i/>
      <w:color w:val="0F4761"/>
    </w:rPr>
  </w:style>
  <w:style w:type="character" w:customStyle="1" w:styleId="50">
    <w:name w:val="Заголовок 5 Знак"/>
    <w:basedOn w:val="a0"/>
    <w:link w:val="5"/>
    <w:semiHidden/>
    <w:qFormat/>
    <w:rPr>
      <w:color w:val="0F4761"/>
    </w:rPr>
  </w:style>
  <w:style w:type="character" w:customStyle="1" w:styleId="60">
    <w:name w:val="Заголовок 6 Знак"/>
    <w:basedOn w:val="a0"/>
    <w:link w:val="6"/>
    <w:semiHidden/>
    <w:qFormat/>
    <w:rPr>
      <w:i/>
      <w:color w:val="595959"/>
    </w:rPr>
  </w:style>
  <w:style w:type="character" w:customStyle="1" w:styleId="70">
    <w:name w:val="Заголовок 7 Знак"/>
    <w:basedOn w:val="a0"/>
    <w:link w:val="7"/>
    <w:semiHidden/>
    <w:qFormat/>
    <w:rPr>
      <w:color w:val="595959"/>
    </w:rPr>
  </w:style>
  <w:style w:type="character" w:customStyle="1" w:styleId="80">
    <w:name w:val="Заголовок 8 Знак"/>
    <w:basedOn w:val="a0"/>
    <w:link w:val="8"/>
    <w:semiHidden/>
    <w:qFormat/>
    <w:rPr>
      <w:i/>
      <w:color w:val="272727"/>
    </w:rPr>
  </w:style>
  <w:style w:type="character" w:customStyle="1" w:styleId="90">
    <w:name w:val="Заголовок 9 Знак"/>
    <w:basedOn w:val="a0"/>
    <w:link w:val="9"/>
    <w:semiHidden/>
    <w:qFormat/>
    <w:rPr>
      <w:color w:val="272727"/>
    </w:rPr>
  </w:style>
  <w:style w:type="character" w:customStyle="1" w:styleId="a5">
    <w:name w:val="Назва Знак"/>
    <w:basedOn w:val="a0"/>
    <w:link w:val="a6"/>
    <w:qFormat/>
    <w:rPr>
      <w:sz w:val="56"/>
    </w:rPr>
  </w:style>
  <w:style w:type="character" w:customStyle="1" w:styleId="a7">
    <w:name w:val="Підзаголовок Знак"/>
    <w:basedOn w:val="a0"/>
    <w:link w:val="a8"/>
    <w:qFormat/>
    <w:rPr>
      <w:color w:val="595959"/>
      <w:sz w:val="28"/>
    </w:rPr>
  </w:style>
  <w:style w:type="character" w:customStyle="1" w:styleId="a9">
    <w:name w:val="Цитата Знак"/>
    <w:basedOn w:val="a0"/>
    <w:link w:val="aa"/>
    <w:qFormat/>
    <w:rPr>
      <w:i/>
      <w:color w:val="404040"/>
    </w:rPr>
  </w:style>
  <w:style w:type="character" w:styleId="ab">
    <w:name w:val="Intense Emphasis"/>
    <w:basedOn w:val="a0"/>
    <w:qFormat/>
    <w:rPr>
      <w:i/>
      <w:color w:val="0F4761"/>
    </w:rPr>
  </w:style>
  <w:style w:type="character" w:customStyle="1" w:styleId="ac">
    <w:name w:val="Насичена цитата Знак"/>
    <w:basedOn w:val="a0"/>
    <w:link w:val="ad"/>
    <w:qFormat/>
    <w:rPr>
      <w:i/>
      <w:color w:val="0F4761"/>
    </w:rPr>
  </w:style>
  <w:style w:type="character" w:styleId="ae">
    <w:name w:val="Intense Reference"/>
    <w:basedOn w:val="a0"/>
    <w:qFormat/>
    <w:rPr>
      <w:b/>
      <w:color w:val="0F4761"/>
    </w:rPr>
  </w:style>
  <w:style w:type="character" w:styleId="af">
    <w:name w:val="Strong"/>
    <w:basedOn w:val="a0"/>
    <w:uiPriority w:val="22"/>
    <w:qFormat/>
    <w:rPr>
      <w:b/>
    </w:rPr>
  </w:style>
  <w:style w:type="character" w:customStyle="1" w:styleId="11">
    <w:name w:val="Незакрита згадка1"/>
    <w:basedOn w:val="a0"/>
    <w:semiHidden/>
    <w:qFormat/>
    <w:rPr>
      <w:color w:val="605E5C"/>
      <w:shd w:val="clear" w:color="auto" w:fill="E1DFDD"/>
    </w:rPr>
  </w:style>
  <w:style w:type="character" w:customStyle="1" w:styleId="apple-converted-space">
    <w:name w:val="apple-converted-space"/>
    <w:basedOn w:val="a0"/>
    <w:qFormat/>
  </w:style>
  <w:style w:type="character" w:customStyle="1" w:styleId="af0">
    <w:name w:val="Текст у виносці Знак"/>
    <w:basedOn w:val="a0"/>
    <w:link w:val="af1"/>
    <w:semiHidden/>
    <w:qFormat/>
    <w:rPr>
      <w:rFonts w:ascii="Segoe UI" w:hAnsi="Segoe UI"/>
      <w:sz w:val="18"/>
    </w:rPr>
  </w:style>
  <w:style w:type="character" w:styleId="af2">
    <w:name w:val="annotation reference"/>
    <w:basedOn w:val="a0"/>
    <w:semiHidden/>
    <w:qFormat/>
    <w:rPr>
      <w:sz w:val="16"/>
    </w:rPr>
  </w:style>
  <w:style w:type="character" w:customStyle="1" w:styleId="af3">
    <w:name w:val="Текст примітки Знак"/>
    <w:basedOn w:val="a0"/>
    <w:link w:val="af4"/>
    <w:qFormat/>
    <w:rPr>
      <w:sz w:val="20"/>
    </w:rPr>
  </w:style>
  <w:style w:type="character" w:customStyle="1" w:styleId="af5">
    <w:name w:val="Тема примітки Знак"/>
    <w:basedOn w:val="af3"/>
    <w:link w:val="af6"/>
    <w:semiHidden/>
    <w:qFormat/>
    <w:rPr>
      <w:b/>
      <w:sz w:val="20"/>
    </w:rPr>
  </w:style>
  <w:style w:type="character" w:customStyle="1" w:styleId="af7">
    <w:name w:val="Верхній колонтитул Знак"/>
    <w:basedOn w:val="a0"/>
    <w:link w:val="af8"/>
    <w:uiPriority w:val="99"/>
    <w:qFormat/>
  </w:style>
  <w:style w:type="character" w:customStyle="1" w:styleId="af9">
    <w:name w:val="Нижній колонтитул Знак"/>
    <w:basedOn w:val="a0"/>
    <w:link w:val="afa"/>
    <w:qFormat/>
  </w:style>
  <w:style w:type="character" w:styleId="afb">
    <w:name w:val="Placeholder Text"/>
    <w:basedOn w:val="a0"/>
    <w:uiPriority w:val="99"/>
    <w:semiHidden/>
    <w:qFormat/>
    <w:rsid w:val="00313408"/>
    <w:rPr>
      <w:color w:val="808080"/>
    </w:rPr>
  </w:style>
  <w:style w:type="character" w:customStyle="1" w:styleId="12">
    <w:name w:val="Шрифт абзацу за промовчанням1"/>
    <w:qFormat/>
  </w:style>
  <w:style w:type="character" w:customStyle="1" w:styleId="afc">
    <w:name w:val="Символ нумерації"/>
    <w:qFormat/>
  </w:style>
  <w:style w:type="character" w:customStyle="1" w:styleId="afd">
    <w:name w:val="Маркери"/>
    <w:qFormat/>
    <w:rPr>
      <w:rFonts w:ascii="OpenSymbol" w:eastAsia="OpenSymbol" w:hAnsi="OpenSymbol" w:cs="OpenSymbol"/>
    </w:rPr>
  </w:style>
  <w:style w:type="paragraph" w:customStyle="1" w:styleId="13">
    <w:name w:val="Заголовок1"/>
    <w:basedOn w:val="a"/>
    <w:next w:val="afe"/>
    <w:qFormat/>
    <w:pPr>
      <w:keepNext/>
      <w:spacing w:before="240" w:after="120"/>
    </w:pPr>
    <w:rPr>
      <w:rFonts w:ascii="Liberation Sans" w:eastAsia="Microsoft YaHei" w:hAnsi="Liberation Sans" w:cs="Arial"/>
      <w:sz w:val="28"/>
      <w:szCs w:val="28"/>
    </w:rPr>
  </w:style>
  <w:style w:type="paragraph" w:styleId="afe">
    <w:name w:val="Body Text"/>
    <w:basedOn w:val="a"/>
    <w:pPr>
      <w:spacing w:after="140" w:line="276" w:lineRule="auto"/>
    </w:pPr>
  </w:style>
  <w:style w:type="paragraph" w:styleId="aff">
    <w:name w:val="List"/>
    <w:basedOn w:val="afe"/>
    <w:rPr>
      <w:rFonts w:cs="Arial"/>
    </w:rPr>
  </w:style>
  <w:style w:type="paragraph" w:styleId="aff0">
    <w:name w:val="caption"/>
    <w:basedOn w:val="a"/>
    <w:qFormat/>
    <w:pPr>
      <w:suppressLineNumbers/>
      <w:spacing w:before="120" w:after="120"/>
    </w:pPr>
    <w:rPr>
      <w:rFonts w:cs="Arial"/>
      <w:i/>
      <w:iCs/>
      <w:szCs w:val="24"/>
    </w:rPr>
  </w:style>
  <w:style w:type="paragraph" w:customStyle="1" w:styleId="aff1">
    <w:name w:val="Покажчик"/>
    <w:basedOn w:val="a"/>
    <w:qFormat/>
    <w:pPr>
      <w:suppressLineNumbers/>
    </w:pPr>
    <w:rPr>
      <w:rFonts w:cs="Arial"/>
    </w:rPr>
  </w:style>
  <w:style w:type="paragraph" w:customStyle="1" w:styleId="user">
    <w:name w:val="Заголовок (user)"/>
    <w:basedOn w:val="a"/>
    <w:next w:val="afe"/>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styleId="a6">
    <w:name w:val="Title"/>
    <w:basedOn w:val="a"/>
    <w:next w:val="afe"/>
    <w:link w:val="a5"/>
    <w:qFormat/>
    <w:pPr>
      <w:spacing w:after="80"/>
      <w:contextualSpacing/>
    </w:pPr>
    <w:rPr>
      <w:sz w:val="56"/>
    </w:rPr>
  </w:style>
  <w:style w:type="paragraph" w:styleId="a8">
    <w:name w:val="Subtitle"/>
    <w:basedOn w:val="a"/>
    <w:next w:val="a"/>
    <w:link w:val="a7"/>
    <w:qFormat/>
    <w:pPr>
      <w:spacing w:after="160"/>
    </w:pPr>
    <w:rPr>
      <w:color w:val="595959"/>
      <w:sz w:val="28"/>
    </w:rPr>
  </w:style>
  <w:style w:type="paragraph" w:styleId="aa">
    <w:name w:val="Quote"/>
    <w:basedOn w:val="a"/>
    <w:next w:val="a"/>
    <w:link w:val="a9"/>
    <w:qFormat/>
    <w:pPr>
      <w:spacing w:before="160" w:after="160"/>
      <w:jc w:val="center"/>
    </w:pPr>
    <w:rPr>
      <w:i/>
      <w:color w:val="404040"/>
    </w:rPr>
  </w:style>
  <w:style w:type="paragraph" w:styleId="aff2">
    <w:name w:val="List Paragraph"/>
    <w:basedOn w:val="a"/>
    <w:uiPriority w:val="34"/>
    <w:qFormat/>
    <w:pPr>
      <w:ind w:left="720"/>
      <w:contextualSpacing/>
    </w:pPr>
  </w:style>
  <w:style w:type="paragraph" w:styleId="ad">
    <w:name w:val="Intense Quote"/>
    <w:basedOn w:val="a"/>
    <w:next w:val="a"/>
    <w:link w:val="ac"/>
    <w:qFormat/>
    <w:pPr>
      <w:pBdr>
        <w:top w:val="single" w:sz="4" w:space="10" w:color="0F4761"/>
        <w:bottom w:val="single" w:sz="4" w:space="10" w:color="0F4761"/>
      </w:pBdr>
      <w:spacing w:before="360" w:after="360"/>
      <w:ind w:left="864" w:right="864"/>
      <w:jc w:val="center"/>
    </w:pPr>
    <w:rPr>
      <w:i/>
      <w:color w:val="0F4761"/>
    </w:rPr>
  </w:style>
  <w:style w:type="paragraph" w:styleId="aff3">
    <w:name w:val="Normal (Web)"/>
    <w:basedOn w:val="a"/>
    <w:semiHidden/>
    <w:qFormat/>
    <w:pPr>
      <w:spacing w:beforeAutospacing="1" w:afterAutospacing="1"/>
    </w:pPr>
  </w:style>
  <w:style w:type="paragraph" w:styleId="af1">
    <w:name w:val="Balloon Text"/>
    <w:basedOn w:val="a"/>
    <w:link w:val="af0"/>
    <w:semiHidden/>
    <w:qFormat/>
    <w:rPr>
      <w:rFonts w:ascii="Segoe UI" w:hAnsi="Segoe UI"/>
      <w:sz w:val="18"/>
    </w:rPr>
  </w:style>
  <w:style w:type="paragraph" w:customStyle="1" w:styleId="rtejustify">
    <w:name w:val="rtejustify"/>
    <w:basedOn w:val="a"/>
    <w:qFormat/>
    <w:pPr>
      <w:spacing w:beforeAutospacing="1" w:afterAutospacing="1"/>
    </w:pPr>
  </w:style>
  <w:style w:type="paragraph" w:styleId="af4">
    <w:name w:val="annotation text"/>
    <w:basedOn w:val="a"/>
    <w:link w:val="af3"/>
    <w:rPr>
      <w:sz w:val="20"/>
    </w:rPr>
  </w:style>
  <w:style w:type="paragraph" w:styleId="af6">
    <w:name w:val="annotation subject"/>
    <w:basedOn w:val="af4"/>
    <w:next w:val="af4"/>
    <w:link w:val="af5"/>
    <w:semiHidden/>
    <w:qFormat/>
    <w:rPr>
      <w:b/>
    </w:rPr>
  </w:style>
  <w:style w:type="paragraph" w:customStyle="1" w:styleId="whitespace-normal">
    <w:name w:val="whitespace-normal"/>
    <w:basedOn w:val="a"/>
    <w:qFormat/>
    <w:pPr>
      <w:spacing w:beforeAutospacing="1" w:afterAutospacing="1"/>
    </w:pPr>
  </w:style>
  <w:style w:type="paragraph" w:customStyle="1" w:styleId="aff4">
    <w:name w:val="Верхній і нижній колонтитули"/>
    <w:basedOn w:val="a"/>
    <w:qFormat/>
  </w:style>
  <w:style w:type="paragraph" w:customStyle="1" w:styleId="user1">
    <w:name w:val="Верхній і нижній колонтитули (user)"/>
    <w:basedOn w:val="a"/>
    <w:qFormat/>
  </w:style>
  <w:style w:type="paragraph" w:styleId="af8">
    <w:name w:val="header"/>
    <w:basedOn w:val="a"/>
    <w:link w:val="af7"/>
    <w:uiPriority w:val="99"/>
    <w:pPr>
      <w:tabs>
        <w:tab w:val="center" w:pos="4819"/>
        <w:tab w:val="right" w:pos="9639"/>
      </w:tabs>
    </w:pPr>
  </w:style>
  <w:style w:type="paragraph" w:styleId="afa">
    <w:name w:val="footer"/>
    <w:basedOn w:val="a"/>
    <w:link w:val="af9"/>
    <w:pPr>
      <w:tabs>
        <w:tab w:val="center" w:pos="4819"/>
        <w:tab w:val="right" w:pos="9639"/>
      </w:tabs>
    </w:pPr>
  </w:style>
  <w:style w:type="paragraph" w:customStyle="1" w:styleId="rvps2">
    <w:name w:val="rvps2"/>
    <w:basedOn w:val="a"/>
    <w:qFormat/>
    <w:rsid w:val="000E47F2"/>
    <w:pPr>
      <w:spacing w:beforeAutospacing="1" w:afterAutospacing="1"/>
    </w:pPr>
    <w:rPr>
      <w:szCs w:val="24"/>
    </w:rPr>
  </w:style>
  <w:style w:type="paragraph" w:customStyle="1" w:styleId="user2">
    <w:name w:val="Вміст таблиці (user)"/>
    <w:basedOn w:val="a"/>
    <w:qFormat/>
    <w:pPr>
      <w:widowControl w:val="0"/>
      <w:suppressLineNumbers/>
    </w:pPr>
  </w:style>
  <w:style w:type="paragraph" w:customStyle="1" w:styleId="user3">
    <w:name w:val="Заголовок таблиці (user)"/>
    <w:basedOn w:val="user2"/>
    <w:qFormat/>
    <w:pPr>
      <w:jc w:val="center"/>
    </w:pPr>
    <w:rPr>
      <w:b/>
      <w:bCs/>
    </w:rPr>
  </w:style>
  <w:style w:type="paragraph" w:customStyle="1" w:styleId="aff5">
    <w:name w:val="Вміст таблиці"/>
    <w:basedOn w:val="a"/>
    <w:qFormat/>
    <w:pPr>
      <w:widowControl w:val="0"/>
      <w:suppressLineNumbers/>
    </w:pPr>
  </w:style>
  <w:style w:type="paragraph" w:customStyle="1" w:styleId="aff6">
    <w:name w:val="Заголовок таблиці"/>
    <w:basedOn w:val="aff5"/>
    <w:qFormat/>
    <w:pPr>
      <w:jc w:val="center"/>
    </w:pPr>
    <w:rPr>
      <w:b/>
      <w:bCs/>
    </w:rPr>
  </w:style>
  <w:style w:type="paragraph" w:customStyle="1" w:styleId="14">
    <w:name w:val="Звичайний1"/>
    <w:qFormat/>
  </w:style>
  <w:style w:type="numbering" w:customStyle="1" w:styleId="aff7">
    <w:name w:val="Без маркерів"/>
    <w:uiPriority w:val="99"/>
    <w:semiHidden/>
    <w:unhideWhenUsed/>
    <w:qFormat/>
  </w:style>
  <w:style w:type="numbering" w:customStyle="1" w:styleId="15">
    <w:name w:val="Текущий список1"/>
    <w:qFormat/>
  </w:style>
  <w:style w:type="numbering" w:customStyle="1" w:styleId="21">
    <w:name w:val="Текущий список2"/>
    <w:qFormat/>
  </w:style>
  <w:style w:type="numbering" w:customStyle="1" w:styleId="31">
    <w:name w:val="Текущий список3"/>
    <w:qFormat/>
  </w:style>
  <w:style w:type="numbering" w:customStyle="1" w:styleId="41">
    <w:name w:val="Текущий список4"/>
    <w:qFormat/>
  </w:style>
  <w:style w:type="numbering" w:customStyle="1" w:styleId="51">
    <w:name w:val="Текущий список5"/>
    <w:qFormat/>
  </w:style>
  <w:style w:type="table" w:styleId="16">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8">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Plain Table 1"/>
    <w:basedOn w:val="a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StylePr>
    <w:tblStylePr w:type="lastRow">
      <w:rPr>
        <w:b/>
      </w:rPr>
      <w:tblPr/>
      <w:tcPr>
        <w:tcBorders>
          <w:top w:val="doub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EB674-F6EF-496B-83C3-A190E38FF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21</Pages>
  <Words>34771</Words>
  <Characters>19820</Characters>
  <Application>Microsoft Office Word</Application>
  <DocSecurity>0</DocSecurity>
  <Lines>165</Lines>
  <Paragraphs>108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Черевко Тетяна Олександрівна</dc:creator>
  <dc:description/>
  <cp:lastModifiedBy>Семоненко Ольга Миколаївна</cp:lastModifiedBy>
  <cp:revision>11</cp:revision>
  <cp:lastPrinted>2026-07-24T09:20:00Z</cp:lastPrinted>
  <dcterms:created xsi:type="dcterms:W3CDTF">2026-07-24T05:35:00Z</dcterms:created>
  <dcterms:modified xsi:type="dcterms:W3CDTF">2026-08-20T09:00:00Z</dcterms:modified>
  <dc:language>uk-UA</dc:language>
</cp:coreProperties>
</file>