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161BBF" w:rsidRDefault="00161BBF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7C98" w:rsidRDefault="00390DE0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головний</w:t>
      </w:r>
      <w:r w:rsidR="004B7C98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спеціаліст відділу </w:t>
      </w:r>
      <w:r w:rsidR="00B2584D">
        <w:rPr>
          <w:rFonts w:ascii="Times New Roman" w:hAnsi="Times New Roman" w:cs="Times New Roman"/>
          <w:b/>
          <w:color w:val="1D1D1B"/>
          <w:sz w:val="24"/>
          <w:szCs w:val="24"/>
        </w:rPr>
        <w:t>представництва інтересів Комісії в судах та інших органах влади юридичного управління</w:t>
      </w:r>
      <w:r w:rsidR="00E8186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4B7C98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секретаріату Вищої кваліфікаційної комісії суддів України</w:t>
      </w:r>
    </w:p>
    <w:p w:rsidR="00161BBF" w:rsidRDefault="00161BBF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165"/>
        <w:gridCol w:w="5808"/>
      </w:tblGrid>
      <w:tr w:rsidR="00BA0F57" w:rsidRPr="00BA0F57" w:rsidTr="004E7A3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F63" w:rsidRDefault="002D2168" w:rsidP="00E07F63">
            <w:pPr>
              <w:pStyle w:val="a4"/>
              <w:tabs>
                <w:tab w:val="left" w:pos="270"/>
              </w:tabs>
              <w:spacing w:before="0" w:beforeAutospacing="0" w:after="0" w:afterAutospacing="0"/>
              <w:jc w:val="both"/>
            </w:pPr>
            <w:r w:rsidRPr="002D2168">
              <w:t>1.</w:t>
            </w:r>
            <w:r>
              <w:t xml:space="preserve"> </w:t>
            </w:r>
            <w:r w:rsidR="00E07F63">
              <w:t>Здійснення представництва (</w:t>
            </w:r>
            <w:proofErr w:type="spellStart"/>
            <w:r w:rsidR="00E07F63">
              <w:t>самопредставництва</w:t>
            </w:r>
            <w:proofErr w:type="spellEnd"/>
            <w:r w:rsidR="00E07F63">
              <w:t>) інтересів Комісії</w:t>
            </w:r>
            <w:r w:rsidR="00E07F63" w:rsidRPr="00022959">
              <w:t xml:space="preserve"> </w:t>
            </w:r>
            <w:r w:rsidR="00E07F63">
              <w:t>у судах та інших органах влади:</w:t>
            </w:r>
          </w:p>
          <w:p w:rsidR="00E07F63" w:rsidRPr="005A0BFE" w:rsidRDefault="00E07F63" w:rsidP="00E07F6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spacing w:before="0" w:beforeAutospacing="0" w:after="0" w:afterAutospacing="0"/>
              <w:ind w:left="0" w:firstLine="0"/>
              <w:jc w:val="both"/>
            </w:pPr>
            <w:r>
              <w:t>безпосереднє здійснення представництва (</w:t>
            </w:r>
            <w:proofErr w:type="spellStart"/>
            <w:r>
              <w:t>самопредставництва</w:t>
            </w:r>
            <w:proofErr w:type="spellEnd"/>
            <w:r>
              <w:t xml:space="preserve">) інтересів Комісії </w:t>
            </w:r>
            <w:r w:rsidRPr="00022959">
              <w:t>в установленому законодавством</w:t>
            </w:r>
            <w:r w:rsidRPr="004C7195">
              <w:t xml:space="preserve"> порядку у судах та інших органах влади під час розгляду правових питань і спорів</w:t>
            </w:r>
            <w:r>
              <w:t xml:space="preserve"> </w:t>
            </w:r>
            <w:r w:rsidRPr="009E48D1">
              <w:t>з усіма правами, що надані сторонам, третім особам</w:t>
            </w:r>
            <w:r>
              <w:t xml:space="preserve"> (</w:t>
            </w:r>
            <w:r w:rsidRPr="009E48D1">
              <w:t xml:space="preserve">крім права повної або часткової відмови від позову, визнання позову, </w:t>
            </w:r>
            <w:r w:rsidRPr="005A0BFE">
              <w:t>збільшення або зменшення розміру позовних вимог, зміни предмета чи підстав позову, укладання мирової угоди, досягнення примирення, передоручення повноважень представника);</w:t>
            </w:r>
          </w:p>
          <w:p w:rsidR="00E07F63" w:rsidRPr="005A0BFE" w:rsidRDefault="00E07F63" w:rsidP="00E07F6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spacing w:before="0" w:beforeAutospacing="0" w:after="0" w:afterAutospacing="0"/>
              <w:ind w:left="0" w:firstLine="0"/>
              <w:jc w:val="both"/>
            </w:pPr>
            <w:r w:rsidRPr="005A0BFE">
              <w:t>організація претензійної та позовної роботи;</w:t>
            </w:r>
          </w:p>
          <w:p w:rsidR="00E07F63" w:rsidRPr="005A0BFE" w:rsidRDefault="00E07F63" w:rsidP="00E07F6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spacing w:before="0" w:beforeAutospacing="0" w:after="0" w:afterAutospacing="0"/>
              <w:ind w:left="0" w:firstLine="0"/>
              <w:jc w:val="both"/>
            </w:pPr>
            <w:r w:rsidRPr="005A0BFE">
              <w:t xml:space="preserve">організація підготовки процесуальних документів та письмових заяв по суті справи, учасником яких є Комісія, з поданням відповідних доказів (документів та інших матеріалів). </w:t>
            </w:r>
          </w:p>
          <w:p w:rsidR="002B7C99" w:rsidRPr="005A0BFE" w:rsidRDefault="005A0BFE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FE">
              <w:rPr>
                <w:rFonts w:ascii="Times New Roman" w:hAnsi="Times New Roman" w:cs="Times New Roman"/>
                <w:sz w:val="24"/>
                <w:szCs w:val="24"/>
              </w:rPr>
              <w:t>Аналіз та узагальнення практики розгляду судами справ за участі Комісії.</w:t>
            </w:r>
          </w:p>
          <w:p w:rsidR="002B7C99" w:rsidRPr="005A0BFE" w:rsidRDefault="005A0BFE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FE">
              <w:rPr>
                <w:rFonts w:ascii="Times New Roman" w:hAnsi="Times New Roman" w:cs="Times New Roman"/>
                <w:sz w:val="24"/>
                <w:szCs w:val="24"/>
              </w:rPr>
              <w:t xml:space="preserve">2. Участь у розробленні </w:t>
            </w:r>
            <w:proofErr w:type="spellStart"/>
            <w:r w:rsidRPr="005A0BFE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5A0BF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нормативно-правових актів, </w:t>
            </w:r>
            <w:proofErr w:type="spellStart"/>
            <w:r w:rsidRPr="005A0BFE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5A0BFE">
              <w:rPr>
                <w:rFonts w:ascii="Times New Roman" w:hAnsi="Times New Roman" w:cs="Times New Roman"/>
                <w:sz w:val="24"/>
                <w:szCs w:val="24"/>
              </w:rPr>
              <w:t xml:space="preserve"> інших актів та матеріалів до них (у разі залучення) та підготовка пропозицій щодо необхідності вдосконалення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BFE" w:rsidRPr="005A0BFE" w:rsidRDefault="005A0BFE" w:rsidP="005A0BFE">
            <w:pPr>
              <w:pStyle w:val="ab"/>
              <w:spacing w:line="240" w:lineRule="auto"/>
              <w:jc w:val="both"/>
              <w:rPr>
                <w:lang w:val="uk-UA"/>
              </w:rPr>
            </w:pPr>
            <w:r w:rsidRPr="005A0BFE">
              <w:rPr>
                <w:lang w:val="uk-UA"/>
              </w:rPr>
              <w:t>3. Розгляд запитів та звернень:</w:t>
            </w:r>
          </w:p>
          <w:p w:rsidR="005A0BFE" w:rsidRPr="005A0BFE" w:rsidRDefault="005A0BFE" w:rsidP="005A0BFE">
            <w:pPr>
              <w:pStyle w:val="ab"/>
              <w:spacing w:line="240" w:lineRule="auto"/>
              <w:jc w:val="both"/>
              <w:rPr>
                <w:lang w:val="uk-UA"/>
              </w:rPr>
            </w:pPr>
            <w:r w:rsidRPr="005A0BFE">
              <w:rPr>
                <w:lang w:val="uk-UA"/>
              </w:rPr>
              <w:t>-</w:t>
            </w:r>
            <w:r w:rsidRPr="005A0BFE">
              <w:rPr>
                <w:lang w:val="uk-UA"/>
              </w:rPr>
              <w:tab/>
              <w:t>участь у здійсненні розгляду звернень структурних підрозділів секретаріату Комісії з питань, що належать до компетенції відділу;</w:t>
            </w:r>
          </w:p>
          <w:p w:rsidR="005A0BFE" w:rsidRPr="005A0BFE" w:rsidRDefault="005A0BFE" w:rsidP="005A0BFE">
            <w:pPr>
              <w:pStyle w:val="ab"/>
              <w:spacing w:line="240" w:lineRule="auto"/>
              <w:jc w:val="both"/>
              <w:rPr>
                <w:lang w:val="uk-UA"/>
              </w:rPr>
            </w:pPr>
            <w:r w:rsidRPr="005A0BFE">
              <w:rPr>
                <w:lang w:val="uk-UA"/>
              </w:rPr>
              <w:t>-</w:t>
            </w:r>
            <w:r w:rsidRPr="005A0BFE">
              <w:rPr>
                <w:lang w:val="uk-UA"/>
              </w:rPr>
              <w:tab/>
              <w:t>участь у розгляді запитів та звернень громадян, органів державної влади, органів суддівського самоврядування, органів місцевого самоврядування, інших органів та установ у системі правосуддя, підприємств, установ, організацій;</w:t>
            </w:r>
          </w:p>
          <w:p w:rsidR="005A0BFE" w:rsidRDefault="005A0BFE" w:rsidP="005A0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B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підготовка </w:t>
            </w:r>
            <w:proofErr w:type="spellStart"/>
            <w:r w:rsidRPr="005A0BFE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5A0BFE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відповідей на звернення та запити з питань, що належать до компетенції відділу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A05" w:rsidRPr="00E07F63" w:rsidRDefault="00501A05" w:rsidP="005A0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C50F62" w:rsidRDefault="00C50F62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4B6143">
              <w:rPr>
                <w:rFonts w:ascii="Times New Roman" w:eastAsia="Times New Roman" w:hAnsi="Times New Roman" w:cs="Times New Roman"/>
                <w:sz w:val="24"/>
                <w:szCs w:val="24"/>
              </w:rPr>
              <w:t>37 939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Pr="00E07F63" w:rsidRDefault="00C50F62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496B57" w:rsidRPr="00E07F63" w:rsidRDefault="00496B57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61BBF" w:rsidRPr="00BA0F57" w:rsidRDefault="00161BBF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Default="00C50F62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501A05" w:rsidRDefault="00501A05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1A05" w:rsidRDefault="00501A05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6B57" w:rsidRDefault="00496B57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1BBF" w:rsidRPr="00BA0F57" w:rsidRDefault="00161BBF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1121A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Перелік </w:t>
            </w:r>
            <w:r w:rsidR="0061121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B1E" w:rsidRPr="00607876" w:rsidRDefault="00464B1E" w:rsidP="00464B1E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464B1E" w:rsidRPr="00607876" w:rsidRDefault="00464B1E" w:rsidP="00464B1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464B1E" w:rsidRPr="00607876" w:rsidRDefault="00464B1E" w:rsidP="00464B1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464B1E" w:rsidRDefault="00464B1E" w:rsidP="00464B1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64B1E" w:rsidRPr="00607876" w:rsidRDefault="00464B1E" w:rsidP="00464B1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464B1E" w:rsidRPr="00E15383" w:rsidRDefault="00464B1E" w:rsidP="00464B1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05" w:rsidRDefault="00501A05" w:rsidP="00501A05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A05" w:rsidRDefault="00501A05" w:rsidP="00501A05">
            <w:pPr>
              <w:pStyle w:val="a5"/>
              <w:tabs>
                <w:tab w:val="left" w:pos="357"/>
              </w:tabs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Досвід роботи на посадах, що передбачають здійснення представництва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самопредставництва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установленому законодавством порядку у судах та інших органах влади, а також підготовки процесуальних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буде перевагою.</w:t>
            </w:r>
          </w:p>
          <w:p w:rsidR="00501A05" w:rsidRPr="00161BBF" w:rsidRDefault="00501A05" w:rsidP="00501A05">
            <w:pPr>
              <w:pStyle w:val="a5"/>
              <w:tabs>
                <w:tab w:val="left" w:pos="357"/>
              </w:tabs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BF" w:rsidRPr="00E81861" w:rsidRDefault="00161BBF" w:rsidP="00ED39A1">
            <w:pPr>
              <w:pStyle w:val="a5"/>
              <w:tabs>
                <w:tab w:val="left" w:pos="357"/>
              </w:tabs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Default="0068002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161BBF" w:rsidRPr="00C50F62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Default="00C50F62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161BBF" w:rsidRPr="00C50F62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BF" w:rsidRPr="00E07F63" w:rsidRDefault="00D77D88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161BBF" w:rsidRPr="002C1C20">
                <w:rPr>
                  <w:rStyle w:val="a3"/>
                  <w:rFonts w:ascii="ProbaPro" w:hAnsi="ProbaPr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161BBF" w:rsidRPr="00E07F63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61BBF" w:rsidRPr="00BA0F57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1C1" w:rsidRPr="00CC275B" w:rsidTr="004E7A3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1C1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1C1" w:rsidRPr="00CC275B" w:rsidTr="004E7A3E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5BD4" w:rsidRDefault="0022781F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50F62">
              <w:t xml:space="preserve">вища </w:t>
            </w:r>
            <w:r>
              <w:t>освіта ступеня не нижче бакалавра, молодшого бакалавра в галузі знань «Право»</w:t>
            </w:r>
          </w:p>
          <w:p w:rsidR="00501A05" w:rsidRDefault="00501A05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FC21C1" w:rsidRPr="00CC275B" w:rsidRDefault="00FC21C1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FC21C1" w:rsidRPr="00CC275B" w:rsidTr="004E7A3E">
        <w:trPr>
          <w:trHeight w:val="526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FC106E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FC21C1" w:rsidRPr="00CC275B" w:rsidTr="004E7A3E">
        <w:trPr>
          <w:trHeight w:val="690"/>
        </w:trPr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85054A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161BBF" w:rsidRPr="00161BBF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pStyle w:val="rvps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61BBF">
              <w:rPr>
                <w:rStyle w:val="rvts9"/>
                <w:color w:val="000000" w:themeColor="text1"/>
              </w:rPr>
              <w:t>Вимога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pStyle w:val="rvps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61BBF">
              <w:rPr>
                <w:rStyle w:val="rvts9"/>
                <w:color w:val="000000" w:themeColor="text1"/>
              </w:rPr>
              <w:t>Компоненти вимоги</w:t>
            </w:r>
          </w:p>
        </w:tc>
      </w:tr>
      <w:tr w:rsidR="00161BBF" w:rsidRPr="00161BBF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Знання законодавства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0FAC" w:rsidRPr="00D77D88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020FAC" w:rsidRPr="00D77D88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020FAC" w:rsidRPr="00D77D88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020FAC" w:rsidRPr="00D77D88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доступ до публічної інформації»;</w:t>
            </w:r>
          </w:p>
          <w:p w:rsidR="00020FAC" w:rsidRPr="00D77D88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громадян»;</w:t>
            </w:r>
          </w:p>
          <w:p w:rsidR="00FC21C1" w:rsidRPr="00D77D88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</w:t>
            </w:r>
            <w:r w:rsidR="00D77D88"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D77D88" w:rsidRPr="00D77D88" w:rsidRDefault="00D77D88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Кодекс</w:t>
            </w:r>
            <w:proofErr w:type="spellEnd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адміністративного</w:t>
            </w:r>
            <w:proofErr w:type="spellEnd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судочинства</w:t>
            </w:r>
            <w:proofErr w:type="spellEnd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1" w:name="_GoBack"/>
            <w:bookmarkEnd w:id="1"/>
          </w:p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1BBF" w:rsidRPr="00161BBF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r w:rsidRPr="00161BBF">
              <w:rPr>
                <w:color w:val="000000" w:themeColor="text1"/>
              </w:rPr>
              <w:t>Знання законодавства у сфері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84D" w:rsidRDefault="00B2584D" w:rsidP="00B2584D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143284">
              <w:rPr>
                <w:lang w:eastAsia="ru-RU"/>
              </w:rPr>
              <w:t>Закон України «Про судоустрій і статус суддів»;</w:t>
            </w:r>
          </w:p>
          <w:p w:rsidR="00B2584D" w:rsidRDefault="00B2584D" w:rsidP="00B2584D">
            <w:pPr>
              <w:pStyle w:val="rvps14"/>
              <w:spacing w:before="0" w:beforeAutospacing="0" w:after="0" w:afterAutospacing="0"/>
              <w:jc w:val="both"/>
            </w:pPr>
            <w:r w:rsidRPr="00E9350C">
              <w:t>Регламент Вищої кваліфікаційної комісії суддів України</w:t>
            </w:r>
            <w:r>
              <w:t>;</w:t>
            </w:r>
          </w:p>
          <w:p w:rsidR="00B2584D" w:rsidRDefault="00B2584D" w:rsidP="00B2584D">
            <w:pPr>
              <w:pStyle w:val="rvps14"/>
              <w:spacing w:before="0" w:beforeAutospacing="0" w:after="0" w:afterAutospacing="0"/>
              <w:jc w:val="both"/>
            </w:pPr>
            <w:r>
              <w:t xml:space="preserve">Положення про секретаріат </w:t>
            </w:r>
            <w:r w:rsidRPr="00E9350C">
              <w:rPr>
                <w:lang w:eastAsia="ru-RU"/>
              </w:rPr>
              <w:t xml:space="preserve"> </w:t>
            </w:r>
            <w:r w:rsidRPr="00E9350C">
              <w:t>Вищої кваліфікаційної комісії суддів України</w:t>
            </w:r>
          </w:p>
          <w:p w:rsidR="00020FAC" w:rsidRPr="00E07F63" w:rsidRDefault="00020FAC" w:rsidP="00431254">
            <w:pPr>
              <w:pStyle w:val="rvps14"/>
              <w:spacing w:before="0" w:beforeAutospacing="0" w:after="0" w:afterAutospacing="0"/>
              <w:jc w:val="both"/>
            </w:pPr>
          </w:p>
        </w:tc>
      </w:tr>
    </w:tbl>
    <w:p w:rsidR="00A94E0F" w:rsidRPr="008C2359" w:rsidRDefault="00A94E0F" w:rsidP="00161BBF">
      <w:pPr>
        <w:spacing w:after="0" w:line="240" w:lineRule="auto"/>
        <w:rPr>
          <w:sz w:val="24"/>
          <w:szCs w:val="24"/>
        </w:rPr>
      </w:pPr>
    </w:p>
    <w:sectPr w:rsidR="00A94E0F" w:rsidRPr="008C2359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83" w:rsidRDefault="00686B83" w:rsidP="00C50F62">
      <w:pPr>
        <w:spacing w:after="0" w:line="240" w:lineRule="auto"/>
      </w:pPr>
      <w:r>
        <w:separator/>
      </w:r>
    </w:p>
  </w:endnote>
  <w:end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83" w:rsidRDefault="00686B83" w:rsidP="00C50F62">
      <w:pPr>
        <w:spacing w:after="0" w:line="240" w:lineRule="auto"/>
      </w:pPr>
      <w:r>
        <w:separator/>
      </w:r>
    </w:p>
  </w:footnote>
  <w:foot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629C"/>
    <w:multiLevelType w:val="hybridMultilevel"/>
    <w:tmpl w:val="961C5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3C7"/>
    <w:multiLevelType w:val="hybridMultilevel"/>
    <w:tmpl w:val="E500D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AE"/>
    <w:multiLevelType w:val="hybridMultilevel"/>
    <w:tmpl w:val="600AD96C"/>
    <w:lvl w:ilvl="0" w:tplc="C7F0C4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F1506"/>
    <w:multiLevelType w:val="hybridMultilevel"/>
    <w:tmpl w:val="E6444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0FAC"/>
    <w:rsid w:val="000217E0"/>
    <w:rsid w:val="00025E13"/>
    <w:rsid w:val="0009596B"/>
    <w:rsid w:val="001012C9"/>
    <w:rsid w:val="00161BBF"/>
    <w:rsid w:val="0019200E"/>
    <w:rsid w:val="0022781F"/>
    <w:rsid w:val="002724FD"/>
    <w:rsid w:val="002B7C99"/>
    <w:rsid w:val="002D2168"/>
    <w:rsid w:val="00390DE0"/>
    <w:rsid w:val="003A729A"/>
    <w:rsid w:val="003B61F6"/>
    <w:rsid w:val="003C5A2D"/>
    <w:rsid w:val="003D3BA9"/>
    <w:rsid w:val="003D6098"/>
    <w:rsid w:val="00416D1B"/>
    <w:rsid w:val="00431254"/>
    <w:rsid w:val="00464B1E"/>
    <w:rsid w:val="00496B57"/>
    <w:rsid w:val="004B6143"/>
    <w:rsid w:val="004B7C98"/>
    <w:rsid w:val="004D4EFE"/>
    <w:rsid w:val="004E7A3E"/>
    <w:rsid w:val="00501A05"/>
    <w:rsid w:val="005107E7"/>
    <w:rsid w:val="005135B9"/>
    <w:rsid w:val="00550701"/>
    <w:rsid w:val="005529B3"/>
    <w:rsid w:val="005A0BFE"/>
    <w:rsid w:val="0061121A"/>
    <w:rsid w:val="0061765E"/>
    <w:rsid w:val="00680021"/>
    <w:rsid w:val="00686B83"/>
    <w:rsid w:val="006F3C98"/>
    <w:rsid w:val="00702F43"/>
    <w:rsid w:val="007175A3"/>
    <w:rsid w:val="00724000"/>
    <w:rsid w:val="007671EF"/>
    <w:rsid w:val="007748BA"/>
    <w:rsid w:val="008A4083"/>
    <w:rsid w:val="008C2359"/>
    <w:rsid w:val="008E1F00"/>
    <w:rsid w:val="009000C3"/>
    <w:rsid w:val="009059DA"/>
    <w:rsid w:val="00976AD8"/>
    <w:rsid w:val="00994CBD"/>
    <w:rsid w:val="009F6B28"/>
    <w:rsid w:val="00A94E0F"/>
    <w:rsid w:val="00AD066A"/>
    <w:rsid w:val="00B2584D"/>
    <w:rsid w:val="00B845A8"/>
    <w:rsid w:val="00BA0F57"/>
    <w:rsid w:val="00BF7F43"/>
    <w:rsid w:val="00C50F62"/>
    <w:rsid w:val="00CC2986"/>
    <w:rsid w:val="00D77D88"/>
    <w:rsid w:val="00D94E09"/>
    <w:rsid w:val="00DB5BD4"/>
    <w:rsid w:val="00DD5256"/>
    <w:rsid w:val="00DF2838"/>
    <w:rsid w:val="00E07F63"/>
    <w:rsid w:val="00E17BCC"/>
    <w:rsid w:val="00E66DCA"/>
    <w:rsid w:val="00E81861"/>
    <w:rsid w:val="00ED39A1"/>
    <w:rsid w:val="00F16CA3"/>
    <w:rsid w:val="00F97A3A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A289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FC21C1"/>
  </w:style>
  <w:style w:type="character" w:customStyle="1" w:styleId="212pt">
    <w:name w:val="Основной текст (2) + 12 pt"/>
    <w:aliases w:val="Не полужирный"/>
    <w:rsid w:val="00FC21C1"/>
    <w:rPr>
      <w:b/>
      <w:bCs/>
      <w:sz w:val="24"/>
      <w:szCs w:val="24"/>
      <w:shd w:val="clear" w:color="auto" w:fill="FFFFFF"/>
    </w:rPr>
  </w:style>
  <w:style w:type="character" w:styleId="aa">
    <w:name w:val="Unresolved Mention"/>
    <w:basedOn w:val="a0"/>
    <w:uiPriority w:val="99"/>
    <w:semiHidden/>
    <w:unhideWhenUsed/>
    <w:rsid w:val="00161BBF"/>
    <w:rPr>
      <w:color w:val="605E5C"/>
      <w:shd w:val="clear" w:color="auto" w:fill="E1DFDD"/>
    </w:rPr>
  </w:style>
  <w:style w:type="paragraph" w:customStyle="1" w:styleId="ab">
    <w:name w:val="[Немає стилю абзацу]"/>
    <w:uiPriority w:val="99"/>
    <w:rsid w:val="005A0BF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BB6B-3AB2-4151-A32F-4B54C823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Мироненко Анна Ігорівна</cp:lastModifiedBy>
  <cp:revision>16</cp:revision>
  <cp:lastPrinted>2024-08-06T05:35:00Z</cp:lastPrinted>
  <dcterms:created xsi:type="dcterms:W3CDTF">2025-01-17T08:08:00Z</dcterms:created>
  <dcterms:modified xsi:type="dcterms:W3CDTF">2025-07-16T13:32:00Z</dcterms:modified>
</cp:coreProperties>
</file>